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40"/>
      </w:pPr>
      <w:r>
        <w:rPr>
          <w:rFonts w:ascii="Aptos" w:hAnsi="Aptos"/>
          <w:b/>
          <w:i w:val="0"/>
          <w:color w:val="142A3E"/>
          <w:sz w:val="26"/>
        </w:rPr>
        <w:t>H  HISTAMOS</w:t>
      </w:r>
    </w:p>
    <w:p>
      <w:pPr>
        <w:spacing w:before="1040" w:after="100"/>
      </w:pPr>
      <w:r>
        <w:rPr>
          <w:rFonts w:ascii="Aptos Display" w:hAnsi="Aptos Display"/>
          <w:b/>
          <w:color w:val="142A3E"/>
          <w:sz w:val="50"/>
        </w:rPr>
        <w:t>Preserving Antihypertensive Benefit While Managing Renal–Electrolyte Liability During Lorundrostat Therapy</w:t>
      </w:r>
    </w:p>
    <w:p>
      <w:pPr>
        <w:spacing w:after="280"/>
      </w:pPr>
      <w:r>
        <w:rPr>
          <w:rFonts w:ascii="Aptos" w:hAnsi="Aptos"/>
          <w:b/>
          <w:i w:val="0"/>
          <w:color w:val="0B7D86"/>
          <w:sz w:val="28"/>
        </w:rPr>
        <w:t>A decision-time state and nested randomized rescue framework</w:t>
      </w:r>
    </w:p>
    <w:tbl>
      <w:tblPr>
        <w:tblW w:type="auto" w:w="0"/>
        <w:jc w:val="center"/>
        <w:tblLayout w:type="fixed"/>
        <w:tblLook w:firstColumn="1" w:firstRow="1" w:lastColumn="0" w:lastRow="0" w:noHBand="0" w:noVBand="1" w:val="04A0"/>
      </w:tblPr>
      <w:tblGrid>
        <w:gridCol w:w="115"/>
        <w:gridCol w:w="9878"/>
      </w:tblGrid>
      <w:tr>
        <w:trPr>
          <w:tblHeader w:val="true"/>
          <w:cantSplit/>
        </w:trPr>
        <w:tc>
          <w:tcPr>
            <w:tcW w:type="dxa" w:w="5083"/>
            <w:shd w:fill="142A3E"/>
          </w:tcPr>
          <w:p/>
        </w:tc>
        <w:tc>
          <w:tcPr>
            <w:tcW w:type="dxa" w:w="5083"/>
            <w:shd w:fill="EDF4FA"/>
            <w:tcMar>
              <w:top w:w="120" w:type="dxa"/>
              <w:start w:w="140" w:type="dxa"/>
              <w:bottom w:w="120" w:type="dxa"/>
              <w:end w:w="140" w:type="dxa"/>
            </w:tcMar>
          </w:tcPr>
          <w:p>
            <w:r>
              <w:rPr>
                <w:rFonts w:ascii="Aptos" w:hAnsi="Aptos"/>
                <w:b/>
                <w:i w:val="0"/>
                <w:color w:val="142A3E"/>
                <w:sz w:val="19"/>
              </w:rPr>
              <w:t>Scientific contribution</w:t>
              <w:br/>
            </w:r>
            <w:r>
              <w:rPr>
                <w:rFonts w:ascii="Aptos" w:hAnsi="Aptos"/>
                <w:b w:val="0"/>
                <w:i w:val="0"/>
                <w:color w:val="1E2832"/>
                <w:sz w:val="18"/>
              </w:rPr>
              <w:t>A translational framework for separating apparent renal decline, provisional adaptive-compatible filtration change, true renal/electrolyte reserve failure, and unresolved states before rescue — then testing lower exposure, interruption/rechallenge, or potassium-management strategies without sacrificing blood-pressure benefit.</w:t>
            </w:r>
          </w:p>
        </w:tc>
      </w:tr>
    </w:tbl>
    <w:p>
      <w:pPr>
        <w:spacing w:after="0"/>
      </w:pPr>
    </w:p>
    <w:p>
      <w:pPr>
        <w:spacing w:before="520"/>
      </w:pPr>
      <w:r>
        <w:rPr>
          <w:rFonts w:ascii="Aptos" w:hAnsi="Aptos"/>
          <w:b/>
          <w:i w:val="0"/>
          <w:color w:val="142A3E"/>
          <w:sz w:val="23"/>
        </w:rPr>
        <w:t>Bouchelit Mohammed El Amin</w:t>
      </w:r>
      <w:r>
        <w:rPr>
          <w:rFonts w:ascii="Aptos" w:hAnsi="Aptos"/>
          <w:b w:val="0"/>
          <w:i w:val="0"/>
          <w:color w:val="66727D"/>
          <w:sz w:val="19"/>
        </w:rPr>
        <w:br/>
        <w:t>Founder &amp; Scientific Lead, HISTAMOS</w:t>
      </w:r>
      <w:r>
        <w:rPr>
          <w:rFonts w:ascii="Aptos" w:hAnsi="Aptos"/>
          <w:b w:val="0"/>
          <w:i w:val="0"/>
          <w:color w:val="66727D"/>
          <w:sz w:val="18"/>
        </w:rPr>
        <w:br/>
        <w:t>Independent Research Program, Germany</w:t>
      </w:r>
      <w:r>
        <w:rPr>
          <w:rFonts w:ascii="Aptos" w:hAnsi="Aptos"/>
          <w:b/>
          <w:i w:val="0"/>
          <w:color w:val="0B7D86"/>
          <w:sz w:val="18"/>
        </w:rPr>
        <w:br/>
        <w:t>Correspondence: contact@histamos.com</w:t>
      </w:r>
      <w:r>
        <w:rPr>
          <w:rFonts w:ascii="Aptos" w:hAnsi="Aptos"/>
          <w:b/>
          <w:i w:val="0"/>
          <w:color w:val="0B7D86"/>
          <w:sz w:val="18"/>
        </w:rPr>
        <w:br/>
        <w:t>Website: www.histamos.com</w:t>
      </w:r>
      <w:r>
        <w:rPr>
          <w:rFonts w:ascii="Aptos" w:hAnsi="Aptos"/>
          <w:b w:val="0"/>
          <w:i w:val="0"/>
          <w:color w:val="66727D"/>
          <w:sz w:val="17"/>
        </w:rPr>
        <w:br/>
        <w:t>Manuscript date: 17 August 2026</w:t>
      </w:r>
    </w:p>
    <w:p>
      <w:pPr>
        <w:spacing w:before="400"/>
      </w:pPr>
      <w:r>
        <w:rPr>
          <w:rFonts w:ascii="Aptos" w:hAnsi="Aptos"/>
          <w:b/>
          <w:i w:val="0"/>
          <w:color w:val="1E2832"/>
          <w:sz w:val="18"/>
        </w:rPr>
        <w:t>Article type: Hypothesis and Theory / Translational Methods</w:t>
      </w:r>
    </w:p>
    <w:tbl>
      <w:tblPr>
        <w:tblW w:type="auto" w:w="0"/>
        <w:jc w:val="center"/>
        <w:tblLayout w:type="fixed"/>
        <w:tblLook w:firstColumn="1" w:firstRow="1" w:lastColumn="0" w:lastRow="0" w:noHBand="0" w:noVBand="1" w:val="04A0"/>
      </w:tblPr>
      <w:tblGrid>
        <w:gridCol w:w="115"/>
        <w:gridCol w:w="9878"/>
      </w:tblGrid>
      <w:tr>
        <w:trPr>
          <w:tblHeader w:val="true"/>
          <w:cantSplit/>
        </w:trPr>
        <w:tc>
          <w:tcPr>
            <w:tcW w:type="dxa" w:w="5083"/>
            <w:shd w:fill="A26A00"/>
          </w:tcPr>
          <w:p/>
        </w:tc>
        <w:tc>
          <w:tcPr>
            <w:tcW w:type="dxa" w:w="5083"/>
            <w:shd w:fill="FFF6E5"/>
            <w:tcMar>
              <w:top w:w="120" w:type="dxa"/>
              <w:start w:w="140" w:type="dxa"/>
              <w:bottom w:w="120" w:type="dxa"/>
              <w:end w:w="140" w:type="dxa"/>
            </w:tcMar>
          </w:tcPr>
          <w:p>
            <w:r>
              <w:rPr>
                <w:rFonts w:ascii="Aptos" w:hAnsi="Aptos"/>
                <w:b/>
                <w:i w:val="0"/>
                <w:color w:val="A26A00"/>
                <w:sz w:val="19"/>
              </w:rPr>
              <w:t>Evidence-status statement</w:t>
              <w:br/>
            </w:r>
            <w:r>
              <w:rPr>
                <w:rFonts w:ascii="Aptos" w:hAnsi="Aptos"/>
                <w:b w:val="0"/>
                <w:i w:val="0"/>
                <w:color w:val="1E2832"/>
                <w:sz w:val="18"/>
              </w:rPr>
              <w:t>This manuscript integrates published randomized human evidence, official trial and regulatory records, sponsor-reported and registry-posted data, and internal methodological stress tests. Internal simulations evaluate decision architecture only and have zero biological, therapeutic, predictive, or clinical authority. No new intervention in humans and no private patient-level lorundrostat dataset are reported. This is not a dosing or prescribing recommendation.</w:t>
            </w:r>
          </w:p>
        </w:tc>
      </w:tr>
    </w:tbl>
    <w:p>
      <w:pPr>
        <w:spacing w:after="0"/>
      </w:pPr>
    </w:p>
    <w:p>
      <w:r>
        <w:br w:type="page"/>
      </w:r>
    </w:p>
    <w:p>
      <w:pPr>
        <w:spacing w:before="140" w:after="40"/>
      </w:pPr>
      <w:r>
        <w:rPr>
          <w:rFonts w:ascii="Aptos" w:hAnsi="Aptos"/>
          <w:b/>
          <w:i w:val="0"/>
          <w:color w:val="0B7D86"/>
          <w:sz w:val="16"/>
        </w:rPr>
        <w:t>ABSTRACT</w:t>
      </w:r>
    </w:p>
    <w:p>
      <w:pPr>
        <w:pStyle w:val="Heading1"/>
      </w:pPr>
      <w:r>
        <w:t>Abstract</w:t>
      </w:r>
    </w:p>
    <w:p>
      <w:pPr>
        <w:pStyle w:val="Body"/>
      </w:pPr>
      <w:r>
        <w:rPr>
          <w:rFonts w:ascii="Aptos" w:hAnsi="Aptos"/>
          <w:b w:val="0"/>
          <w:i w:val="0"/>
          <w:color w:val="1E2832"/>
          <w:sz w:val="20"/>
        </w:rPr>
        <w:t>Background: Lorundrostat, a selective aldosterone synthase inhibitor, has produced reproducible blood-pressure reductions in uncontrolled and treatment-resistant hypertension. The unresolved translational problem is increasingly concentrated not in whether the drug lowers blood pressure, but in how to preserve benefit when potassium, sodium, or kidney-function signals emerge during treatment.</w:t>
      </w:r>
    </w:p>
    <w:p>
      <w:pPr>
        <w:pStyle w:val="Body"/>
      </w:pPr>
      <w:r>
        <w:rPr>
          <w:rFonts w:ascii="Aptos" w:hAnsi="Aptos"/>
          <w:b w:val="0"/>
          <w:i w:val="0"/>
          <w:color w:val="1E2832"/>
          <w:sz w:val="20"/>
        </w:rPr>
        <w:t>Objective: To develop an evidence-governed, falsifiable framework that distinguishes decision-time renal/electrolyte states and identifies which rescue strategies merit prospective testing without conflating prediction, risk stratification, observed clinical policy, and causal treatment selection.</w:t>
      </w:r>
    </w:p>
    <w:p>
      <w:pPr>
        <w:pStyle w:val="Body"/>
      </w:pPr>
      <w:r>
        <w:rPr>
          <w:rFonts w:ascii="Aptos" w:hAnsi="Aptos"/>
          <w:b w:val="0"/>
          <w:i w:val="0"/>
          <w:color w:val="1E2832"/>
          <w:sz w:val="20"/>
        </w:rPr>
        <w:t>Methods: We synthesized randomized evidence from Target-HTN, Advance-HTN, and Launch-HTN; exact-product CKD data from Explore-CKD; current long-duration and regulatory records; CKD subgroup and class-comparator evidence; and human cardiorenal precedents relevant to filtration change and hyperkalemia management. We then integrated these data with prespecified methodological stress tests designed to detect temporal leakage, baseline sufficiency, false reassurance, transport failure, post-randomization selection, and bottleneck migration.</w:t>
      </w:r>
    </w:p>
    <w:p>
      <w:pPr>
        <w:pStyle w:val="Body"/>
      </w:pPr>
      <w:r>
        <w:rPr>
          <w:rFonts w:ascii="Aptos" w:hAnsi="Aptos"/>
          <w:b w:val="0"/>
          <w:i w:val="0"/>
          <w:color w:val="1E2832"/>
          <w:sz w:val="20"/>
        </w:rPr>
        <w:t>Results: Fixed lorundrostat 50 mg remains the strongest replicated population-level exposure anchor. Two randomized policy comparisons do not demonstrate net-benefit superiority of optional escalation to 100 mg over fixed 50 mg, while within-policy escalation cannot be interpreted causally because actual escalation depended on post-randomization blood pressure and safety measurements. Launch-HTN supports measurement deconvolution because creatinine-based estimated glomerular filtration rate (eGFR) declined more than cystatin-C-based eGFR. Explore-CKD demonstrates that 25 mg retains blood-pressure and albuminuria activity in CKD, but filtration and potassium liability persist; lower exposure is therefore an exact-product rescue candidate, not a validated rescue. CKD is supported as a safety-risk axis, not a treatment selector. Potassium-binder rescue has randomized class precedent but no lorundrostat-specific causal validation.</w:t>
      </w:r>
    </w:p>
    <w:p>
      <w:pPr>
        <w:pStyle w:val="Body"/>
      </w:pPr>
      <w:r>
        <w:rPr>
          <w:rFonts w:ascii="Aptos" w:hAnsi="Aptos"/>
          <w:b w:val="0"/>
          <w:i w:val="0"/>
          <w:color w:val="1E2832"/>
          <w:sz w:val="20"/>
        </w:rPr>
        <w:t>Conclusions: The most defensible development strategy is not automatic escalation, automatic discontinuation, or universal interpretation of early eGFR decline. It is measurement deconvolution followed by decision-time state classification, abstention when state is unresolved, and nested randomization of rescue among participants who retain antihypertensive benefit but develop an ethically randomizable safety signal. The primary test should assess preserved net therapeutic state rather than laboratory normalization alone. Patient-level state×rescue causality remains unvalidated and requires prospective or valid sequential identification.</w:t>
      </w:r>
    </w:p>
    <w:p>
      <w:r>
        <w:rPr>
          <w:rFonts w:ascii="Aptos" w:hAnsi="Aptos"/>
          <w:b/>
          <w:i w:val="0"/>
          <w:color w:val="142A3E"/>
          <w:sz w:val="18"/>
        </w:rPr>
        <w:t xml:space="preserve">Keywords: </w:t>
      </w:r>
      <w:r>
        <w:rPr>
          <w:rFonts w:ascii="Aptos" w:hAnsi="Aptos"/>
          <w:b w:val="0"/>
          <w:i w:val="0"/>
          <w:color w:val="66727D"/>
          <w:sz w:val="18"/>
        </w:rPr>
        <w:t>lorundrostat; aldosterone synthase inhibition; hypertension; chronic kidney disease; hyperkalemia; eGFR; cystatin C; renal reserve; treatment rescue; decision-time identifiability; nested randomization.</w:t>
      </w:r>
    </w:p>
    <w:p>
      <w:pPr>
        <w:pStyle w:val="Heading1"/>
      </w:pPr>
      <w:r>
        <w:t>1. Introduction</w:t>
      </w:r>
    </w:p>
    <w:p>
      <w:pPr>
        <w:pStyle w:val="Body"/>
      </w:pPr>
      <w:r>
        <w:rPr>
          <w:rFonts w:ascii="Aptos" w:hAnsi="Aptos"/>
          <w:b w:val="0"/>
          <w:i w:val="0"/>
          <w:color w:val="1E2832"/>
          <w:sz w:val="20"/>
        </w:rPr>
        <w:t>Lorundrostat inhibits CYP11B2-dependent aldosterone synthesis and has demonstrated clinically meaningful antihypertensive activity across dose-ranging and pivotal randomized trials. Target-HTN established proof of concept; Advance-HTN demonstrated significant 24-hour ambulatory systolic blood-pressure lowering; and Launch-HTN confirmed efficacy in a large phase 3 population receiving multiple background antihypertensive drugs [1–3]. The U.S. Food and Drug Administration has accepted the new drug application, with a PDUFA target action date of 22 December 2026 [4].</w:t>
      </w:r>
    </w:p>
    <w:p>
      <w:pPr>
        <w:pStyle w:val="Body"/>
      </w:pPr>
      <w:r>
        <w:rPr>
          <w:rFonts w:ascii="Aptos" w:hAnsi="Aptos"/>
          <w:b w:val="0"/>
          <w:i w:val="0"/>
          <w:color w:val="1E2832"/>
          <w:sz w:val="20"/>
        </w:rPr>
        <w:t>This shifts the central development uncertainty. Blood-pressure efficacy is substantially more mature than the renal/electrolyte management problem. Aldosterone suppression interacts with serum potassium, sodium, filtration, intraglomerular hemodynamics, volume state, and concomitant renin–angiotensin system therapy. Trial safety therefore reflects not only the molecule, but also patient selection, laboratory monitoring, repeat testing, dose rules, and treatment interruption.</w:t>
      </w:r>
    </w:p>
    <w:p>
      <w:pPr>
        <w:pStyle w:val="Body"/>
      </w:pPr>
      <w:r>
        <w:rPr>
          <w:rFonts w:ascii="Aptos" w:hAnsi="Aptos"/>
          <w:b w:val="0"/>
          <w:i w:val="0"/>
          <w:color w:val="1E2832"/>
          <w:sz w:val="20"/>
        </w:rPr>
        <w:t>Two opposite errors are possible. The first is to interpret every early rise in creatinine or fall in creatinine-based eGFR as equivalent kidney injury and sacrifice useful blood-pressure control unnecessarily. The second is to label every early filtration decline 'adaptive' and thereby miss true renal/electrolyte reserve failure. The scientific problem is therefore state identification before rescue, not retrospective interpretation after the trajectory is already known.</w:t>
      </w:r>
    </w:p>
    <w:p>
      <w:pPr>
        <w:pStyle w:val="Body"/>
      </w:pPr>
      <w:r>
        <w:rPr>
          <w:rFonts w:ascii="Aptos" w:hAnsi="Aptos"/>
          <w:b w:val="0"/>
          <w:i w:val="0"/>
          <w:color w:val="1E2832"/>
          <w:sz w:val="20"/>
        </w:rPr>
        <w:t>This manuscript extends an earlier renal-state formulation by integrating subsequent rescue adjudication. The aim is to define what current human evidence can support now, which rescue candidates have advanced, which apparent solutions must be downgraded, and what prospective design would actually identify a patient-level rescue policy.</w:t>
      </w:r>
    </w:p>
    <w:p>
      <w:pPr>
        <w:pStyle w:val="Heading1"/>
      </w:pPr>
      <w:r>
        <w:t>2. Methods and evidence governance</w:t>
      </w:r>
    </w:p>
    <w:p>
      <w:pPr>
        <w:pStyle w:val="Heading2"/>
      </w:pPr>
      <w:r>
        <w:t>2.1 Evidence layers</w:t>
      </w:r>
    </w:p>
    <w:p>
      <w:pPr>
        <w:pStyle w:val="Body"/>
      </w:pPr>
      <w:r>
        <w:rPr>
          <w:rFonts w:ascii="Aptos" w:hAnsi="Aptos"/>
          <w:b w:val="0"/>
          <w:i w:val="0"/>
          <w:color w:val="1E2832"/>
          <w:sz w:val="20"/>
        </w:rPr>
        <w:t>The analysis used a hierarchical evidence structure. Exact-product randomized trials were used for efficacy, randomized policy effects, safety signals, and monitored treatment context. Exact-product CKD evidence was used for lower-exposure and renal/electrolyte stress testing. Cross-disease and class evidence was used only as mechanistic or management prior and was not imported as lorundrostat-specific rescue proof. Sponsor-presented post-hoc analyses were treated as supportive rather than confirmatory.</w:t>
      </w:r>
    </w:p>
    <w:tbl>
      <w:tblPr>
        <w:tblW w:type="auto" w:w="0"/>
        <w:jc w:val="center"/>
        <w:tblLayout w:type="fixed"/>
        <w:tblLook w:firstColumn="1" w:firstRow="1" w:lastColumn="0" w:lastRow="0" w:noHBand="0" w:noVBand="1" w:val="04A0"/>
      </w:tblPr>
      <w:tblGrid>
        <w:gridCol w:w="2160"/>
        <w:gridCol w:w="2448"/>
        <w:gridCol w:w="3096"/>
        <w:gridCol w:w="2376"/>
      </w:tblGrid>
      <w:tr>
        <w:trPr>
          <w:tblHeader w:val="true"/>
          <w:cantSplit/>
        </w:trPr>
        <w:tc>
          <w:tcPr>
            <w:tcW w:type="dxa" w:w="2541"/>
            <w:shd w:fill="142A3E"/>
            <w:tcMar>
              <w:top w:w="80" w:type="dxa"/>
              <w:start w:w="70" w:type="dxa"/>
              <w:bottom w:w="80" w:type="dxa"/>
              <w:end w:w="70" w:type="dxa"/>
            </w:tcMar>
            <w:tcBorders>
              <w:top w:val="single" w:sz="2" w:color="FFFFFF"/>
              <w:bottom w:val="single" w:sz="2" w:color="FFFFFF"/>
              <w:start w:val="single" w:sz="2" w:color="FFFFFF"/>
              <w:end w:val="single" w:sz="2" w:color="FFFFFF"/>
            </w:tcBorders>
          </w:tcPr>
          <w:p>
            <w:r>
              <w:rPr>
                <w:rFonts w:ascii="Aptos" w:hAnsi="Aptos"/>
                <w:b/>
                <w:i w:val="0"/>
                <w:color w:val="FFFFFF"/>
                <w:sz w:val="14"/>
              </w:rPr>
              <w:t>Evidence layer</w:t>
            </w:r>
          </w:p>
        </w:tc>
        <w:tc>
          <w:tcPr>
            <w:tcW w:type="dxa" w:w="2541"/>
            <w:shd w:fill="142A3E"/>
            <w:tcMar>
              <w:top w:w="80" w:type="dxa"/>
              <w:start w:w="70" w:type="dxa"/>
              <w:bottom w:w="80" w:type="dxa"/>
              <w:end w:w="70" w:type="dxa"/>
            </w:tcMar>
            <w:tcBorders>
              <w:top w:val="single" w:sz="2" w:color="FFFFFF"/>
              <w:bottom w:val="single" w:sz="2" w:color="FFFFFF"/>
              <w:start w:val="single" w:sz="2" w:color="FFFFFF"/>
              <w:end w:val="single" w:sz="2" w:color="FFFFFF"/>
            </w:tcBorders>
          </w:tcPr>
          <w:p>
            <w:r>
              <w:rPr>
                <w:rFonts w:ascii="Aptos" w:hAnsi="Aptos"/>
                <w:b/>
                <w:i w:val="0"/>
                <w:color w:val="FFFFFF"/>
                <w:sz w:val="14"/>
              </w:rPr>
              <w:t>Examples</w:t>
            </w:r>
          </w:p>
        </w:tc>
        <w:tc>
          <w:tcPr>
            <w:tcW w:type="dxa" w:w="2541"/>
            <w:shd w:fill="142A3E"/>
            <w:tcMar>
              <w:top w:w="80" w:type="dxa"/>
              <w:start w:w="70" w:type="dxa"/>
              <w:bottom w:w="80" w:type="dxa"/>
              <w:end w:w="70" w:type="dxa"/>
            </w:tcMar>
            <w:tcBorders>
              <w:top w:val="single" w:sz="2" w:color="FFFFFF"/>
              <w:bottom w:val="single" w:sz="2" w:color="FFFFFF"/>
              <w:start w:val="single" w:sz="2" w:color="FFFFFF"/>
              <w:end w:val="single" w:sz="2" w:color="FFFFFF"/>
            </w:tcBorders>
          </w:tcPr>
          <w:p>
            <w:r>
              <w:rPr>
                <w:rFonts w:ascii="Aptos" w:hAnsi="Aptos"/>
                <w:b/>
                <w:i w:val="0"/>
                <w:color w:val="FFFFFF"/>
                <w:sz w:val="14"/>
              </w:rPr>
              <w:t>Permitted inference</w:t>
            </w:r>
          </w:p>
        </w:tc>
        <w:tc>
          <w:tcPr>
            <w:tcW w:type="dxa" w:w="2541"/>
            <w:shd w:fill="142A3E"/>
            <w:tcMar>
              <w:top w:w="80" w:type="dxa"/>
              <w:start w:w="70" w:type="dxa"/>
              <w:bottom w:w="80" w:type="dxa"/>
              <w:end w:w="70" w:type="dxa"/>
            </w:tcMar>
            <w:tcBorders>
              <w:top w:val="single" w:sz="2" w:color="FFFFFF"/>
              <w:bottom w:val="single" w:sz="2" w:color="FFFFFF"/>
              <w:start w:val="single" w:sz="2" w:color="FFFFFF"/>
              <w:end w:val="single" w:sz="2" w:color="FFFFFF"/>
            </w:tcBorders>
          </w:tcPr>
          <w:p>
            <w:r>
              <w:rPr>
                <w:rFonts w:ascii="Aptos" w:hAnsi="Aptos"/>
                <w:b/>
                <w:i w:val="0"/>
                <w:color w:val="FFFFFF"/>
                <w:sz w:val="14"/>
              </w:rPr>
              <w:t>Prohibited inference</w:t>
            </w:r>
          </w:p>
        </w:tc>
      </w:tr>
      <w:tr>
        <w:trPr>
          <w:cantSplit/>
        </w:trPr>
        <w:tc>
          <w:tcPr>
            <w:tcW w:type="dxa" w:w="2160"/>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Exact-product randomized</w:t>
            </w:r>
          </w:p>
        </w:tc>
        <w:tc>
          <w:tcPr>
            <w:tcW w:type="dxa" w:w="2448"/>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Target-HTN; Advance-HTN; Launch-HTN</w:t>
            </w:r>
          </w:p>
        </w:tc>
        <w:tc>
          <w:tcPr>
            <w:tcW w:type="dxa" w:w="3096"/>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BP efficacy, policy assignment, observed safety context</w:t>
            </w:r>
          </w:p>
        </w:tc>
        <w:tc>
          <w:tcPr>
            <w:tcW w:type="dxa" w:w="2376"/>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Patient-level rescue selector without action identification</w:t>
            </w:r>
          </w:p>
        </w:tc>
      </w:tr>
      <w:tr>
        <w:trPr>
          <w:cantSplit/>
        </w:trPr>
        <w:tc>
          <w:tcPr>
            <w:tcW w:type="dxa" w:w="2160"/>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Exact-product CKD stress</w:t>
            </w:r>
          </w:p>
        </w:tc>
        <w:tc>
          <w:tcPr>
            <w:tcW w:type="dxa" w:w="2448"/>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Explore-CKD 25 mg</w:t>
            </w:r>
          </w:p>
        </w:tc>
        <w:tc>
          <w:tcPr>
            <w:tcW w:type="dxa" w:w="3096"/>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Lower-exposure activity and renal/electrolyte liability</w:t>
            </w:r>
          </w:p>
        </w:tc>
        <w:tc>
          <w:tcPr>
            <w:tcW w:type="dxa" w:w="2376"/>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25 mg superiority after a 50-mg safety signal</w:t>
            </w:r>
          </w:p>
        </w:tc>
      </w:tr>
      <w:tr>
        <w:trPr>
          <w:cantSplit/>
        </w:trPr>
        <w:tc>
          <w:tcPr>
            <w:tcW w:type="dxa" w:w="2160"/>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Post-hoc exact-product</w:t>
            </w:r>
          </w:p>
        </w:tc>
        <w:tc>
          <w:tcPr>
            <w:tcW w:type="dxa" w:w="2448"/>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Launch-HTN CKD subgroup; proteomic analyses</w:t>
            </w:r>
          </w:p>
        </w:tc>
        <w:tc>
          <w:tcPr>
            <w:tcW w:type="dxa" w:w="3096"/>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Risk-stratification and hypothesis support</w:t>
            </w:r>
          </w:p>
        </w:tc>
        <w:tc>
          <w:tcPr>
            <w:tcW w:type="dxa" w:w="2376"/>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Validated treatment-effect modifier</w:t>
            </w:r>
          </w:p>
        </w:tc>
      </w:tr>
      <w:tr>
        <w:trPr>
          <w:cantSplit/>
        </w:trPr>
        <w:tc>
          <w:tcPr>
            <w:tcW w:type="dxa" w:w="2160"/>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Class/cross-disease randomized</w:t>
            </w:r>
          </w:p>
        </w:tc>
        <w:tc>
          <w:tcPr>
            <w:tcW w:type="dxa" w:w="2448"/>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AMBER; FIDELIO-DKD; DAPA-CKD; FINEARTS-HF</w:t>
            </w:r>
          </w:p>
        </w:tc>
        <w:tc>
          <w:tcPr>
            <w:tcW w:type="dxa" w:w="3096"/>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Plausibility of monitoring/rescue patterns</w:t>
            </w:r>
          </w:p>
        </w:tc>
        <w:tc>
          <w:tcPr>
            <w:tcW w:type="dxa" w:w="2376"/>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Lorundrostat-specific rescue efficacy</w:t>
            </w:r>
          </w:p>
        </w:tc>
      </w:tr>
      <w:tr>
        <w:trPr>
          <w:cantSplit/>
        </w:trPr>
        <w:tc>
          <w:tcPr>
            <w:tcW w:type="dxa" w:w="2160"/>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Internal stress tests</w:t>
            </w:r>
          </w:p>
        </w:tc>
        <w:tc>
          <w:tcPr>
            <w:tcW w:type="dxa" w:w="2448"/>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Prespecified synthetic counterworlds</w:t>
            </w:r>
          </w:p>
        </w:tc>
        <w:tc>
          <w:tcPr>
            <w:tcW w:type="dxa" w:w="3096"/>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Logical identifiability and failure-mode testing</w:t>
            </w:r>
          </w:p>
        </w:tc>
        <w:tc>
          <w:tcPr>
            <w:tcW w:type="dxa" w:w="2376"/>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Biological truth or clinical accuracy</w:t>
            </w:r>
          </w:p>
        </w:tc>
      </w:tr>
    </w:tbl>
    <w:p>
      <w:pPr>
        <w:spacing w:after="20"/>
      </w:pPr>
    </w:p>
    <w:p>
      <w:pPr>
        <w:pStyle w:val="Heading2"/>
      </w:pPr>
      <w:r>
        <w:t>2.2 Decision-time causality</w:t>
      </w:r>
    </w:p>
    <w:p>
      <w:pPr>
        <w:pStyle w:val="Body"/>
      </w:pPr>
      <w:r>
        <w:rPr>
          <w:rFonts w:ascii="Aptos" w:hAnsi="Aptos"/>
          <w:b w:val="0"/>
          <w:i w:val="0"/>
          <w:color w:val="1E2832"/>
          <w:sz w:val="20"/>
        </w:rPr>
        <w:t>All state variables intended to guide treatment must be observable before the action. Later stabilization, later injury, post-rescue response, or future treatment persistence cannot be used to classify the earlier state. Randomization to an adaptive policy identifies the effect of assignment to that policy; it does not automatically identify the causal effect of the post-randomization rescue action itself.</w:t>
      </w:r>
    </w:p>
    <w:tbl>
      <w:tblPr>
        <w:tblW w:type="auto" w:w="0"/>
        <w:jc w:val="center"/>
        <w:tblLayout w:type="fixed"/>
        <w:tblLook w:firstColumn="1" w:firstRow="1" w:lastColumn="0" w:lastRow="0" w:noHBand="0" w:noVBand="1" w:val="04A0"/>
      </w:tblPr>
      <w:tblGrid>
        <w:gridCol w:w="115"/>
        <w:gridCol w:w="9878"/>
      </w:tblGrid>
      <w:tr>
        <w:trPr>
          <w:tblHeader w:val="true"/>
          <w:cantSplit/>
        </w:trPr>
        <w:tc>
          <w:tcPr>
            <w:tcW w:type="dxa" w:w="5083"/>
            <w:shd w:fill="9B3D43"/>
          </w:tcPr>
          <w:p/>
        </w:tc>
        <w:tc>
          <w:tcPr>
            <w:tcW w:type="dxa" w:w="5083"/>
            <w:shd w:fill="FBEFF0"/>
            <w:tcMar>
              <w:top w:w="120" w:type="dxa"/>
              <w:start w:w="140" w:type="dxa"/>
              <w:bottom w:w="120" w:type="dxa"/>
              <w:end w:w="140" w:type="dxa"/>
            </w:tcMar>
          </w:tcPr>
          <w:p>
            <w:r>
              <w:rPr>
                <w:rFonts w:ascii="Aptos" w:hAnsi="Aptos"/>
                <w:b/>
                <w:i w:val="0"/>
                <w:color w:val="9B3D43"/>
                <w:sz w:val="19"/>
              </w:rPr>
              <w:t>Key causal boundary</w:t>
              <w:br/>
            </w:r>
            <w:r>
              <w:rPr>
                <w:rFonts w:ascii="Aptos" w:hAnsi="Aptos"/>
                <w:b w:val="0"/>
                <w:i w:val="0"/>
                <w:color w:val="1E2832"/>
                <w:sz w:val="18"/>
              </w:rPr>
              <w:t>Randomized adaptive policy ≠ randomized within-policy rescue action. Actual escalation, dose reduction, interruption, or companion rescue requires its own causal identification within an eligible pre-decision state.</w:t>
            </w:r>
          </w:p>
        </w:tc>
      </w:tr>
    </w:tbl>
    <w:p>
      <w:pPr>
        <w:spacing w:after="0"/>
      </w:pPr>
    </w:p>
    <w:p>
      <w:pPr>
        <w:pStyle w:val="Heading1"/>
      </w:pPr>
      <w:r>
        <w:t>3. Evidence synthesis: what is now closed and what remains open</w:t>
      </w:r>
    </w:p>
    <w:p>
      <w:pPr>
        <w:pStyle w:val="Heading2"/>
      </w:pPr>
      <w:r>
        <w:t>3.1 Blood-pressure efficacy is substantially closed</w:t>
      </w:r>
    </w:p>
    <w:p>
      <w:pPr>
        <w:pStyle w:val="Body"/>
      </w:pPr>
      <w:r>
        <w:rPr>
          <w:rFonts w:ascii="Aptos" w:hAnsi="Aptos"/>
          <w:b w:val="0"/>
          <w:i w:val="0"/>
          <w:color w:val="1E2832"/>
          <w:sz w:val="20"/>
        </w:rPr>
        <w:t>Advance-HTN randomized 285 participants and reported placebo-adjusted reductions in 24-hour average systolic blood pressure of 7.9 mm Hg with fixed 50 mg and 6.5 mm Hg with a 50-to-100-mg strategy at week 12 [2,5]. Launch-HTN randomized 1,083 participants and demonstrated a 9.1-mm Hg placebo-adjusted reduction in automated office systolic blood pressure at week 6 with pooled 50-mg lorundrostat [3]. Across the program, the evidence supports meaningful blood-pressure lowering; the remaining uncertainty is concentrated in benefit–risk, duration, generalizability, and rescue.</w:t>
      </w:r>
    </w:p>
    <w:p>
      <w:pPr>
        <w:pStyle w:val="Heading2"/>
      </w:pPr>
      <w:r>
        <w:t>3.2 Fixed 50 mg is the strongest current population anchor; automatic escalation is not established</w:t>
      </w:r>
    </w:p>
    <w:p>
      <w:pPr>
        <w:pStyle w:val="Body"/>
      </w:pPr>
      <w:r>
        <w:rPr>
          <w:rFonts w:ascii="Aptos" w:hAnsi="Aptos"/>
          <w:b w:val="0"/>
          <w:i w:val="0"/>
          <w:color w:val="1E2832"/>
          <w:sz w:val="20"/>
        </w:rPr>
        <w:t>Both Advance-HTN and Launch-HTN included randomized assignment to fixed 50 mg versus a strategy that permitted escalation to 100 mg. The aggregate randomized evidence does not demonstrate net-benefit superiority of the optional-escalation policy over fixed 50 mg. In Advance-HTN, placebo-adjusted systolic blood-pressure reduction at week 12 was numerically greater with fixed 50 mg than with the dose-adjustment policy, while scheduled potassium values greater than 6.0 mmol/L occurred numerically more often in the 50-to-100-mg arm [5]. Launch-HTN similarly did not establish an advantage for optional escalation.</w:t>
      </w:r>
    </w:p>
    <w:p>
      <w:pPr>
        <w:pStyle w:val="Body"/>
      </w:pPr>
      <w:r>
        <w:rPr>
          <w:rFonts w:ascii="Aptos" w:hAnsi="Aptos"/>
          <w:b w:val="0"/>
          <w:i w:val="0"/>
          <w:color w:val="1E2832"/>
          <w:sz w:val="20"/>
        </w:rPr>
        <w:t>This should not be overinterpreted as proof that fixed 50 mg is statistically superior to 100 mg or that escalation is never appropriate. The pivotal trials were not designed to answer that active-arm superiority question. The narrower and defensible inference is that residual blood pressure alone does not establish escalation as the preferred default rescue policy.</w:t>
      </w:r>
    </w:p>
    <w:p>
      <w:pPr>
        <w:pStyle w:val="Heading2"/>
      </w:pPr>
      <w:r>
        <w:t>3.3 Apparent renal decline requires measurement deconvolution</w:t>
      </w:r>
    </w:p>
    <w:p>
      <w:pPr>
        <w:pStyle w:val="Body"/>
      </w:pPr>
      <w:r>
        <w:rPr>
          <w:rFonts w:ascii="Aptos" w:hAnsi="Aptos"/>
          <w:b w:val="0"/>
          <w:i w:val="0"/>
          <w:color w:val="1E2832"/>
          <w:sz w:val="20"/>
        </w:rPr>
        <w:t>Launch-HTN reported a larger decline in creatinine-based eGFR than in cystatin-C-based estimates and explicitly discussed competition between lorundrostat and creatinine for MATE1-dependent transport [3]. Creatinine therefore cannot be treated as a pure filtration signal in this setting. However, cystatin-C-based eGFR also declined, so the opposite conclusion — that the renal signal is entirely artifactual — is not supported.</w:t>
      </w:r>
    </w:p>
    <w:tbl>
      <w:tblPr>
        <w:tblW w:type="auto" w:w="0"/>
        <w:jc w:val="center"/>
        <w:tblLayout w:type="fixed"/>
        <w:tblLook w:firstColumn="1" w:firstRow="1" w:lastColumn="0" w:lastRow="0" w:noHBand="0" w:noVBand="1" w:val="04A0"/>
      </w:tblPr>
      <w:tblGrid>
        <w:gridCol w:w="115"/>
        <w:gridCol w:w="9878"/>
      </w:tblGrid>
      <w:tr>
        <w:trPr>
          <w:tblHeader w:val="true"/>
          <w:cantSplit/>
        </w:trPr>
        <w:tc>
          <w:tcPr>
            <w:tcW w:type="dxa" w:w="5083"/>
            <w:shd w:fill="142A3E"/>
          </w:tcPr>
          <w:p/>
        </w:tc>
        <w:tc>
          <w:tcPr>
            <w:tcW w:type="dxa" w:w="5083"/>
            <w:shd w:fill="EDF4FA"/>
            <w:tcMar>
              <w:top w:w="120" w:type="dxa"/>
              <w:start w:w="140" w:type="dxa"/>
              <w:bottom w:w="120" w:type="dxa"/>
              <w:end w:w="140" w:type="dxa"/>
            </w:tcMar>
          </w:tcPr>
          <w:p>
            <w:r>
              <w:rPr>
                <w:rFonts w:ascii="Aptos" w:hAnsi="Aptos"/>
                <w:b/>
                <w:i w:val="0"/>
                <w:color w:val="142A3E"/>
                <w:sz w:val="19"/>
              </w:rPr>
              <w:t>Interpretation</w:t>
              <w:br/>
            </w:r>
            <w:r>
              <w:rPr>
                <w:rFonts w:ascii="Aptos" w:hAnsi="Aptos"/>
                <w:b w:val="0"/>
                <w:i w:val="0"/>
                <w:color w:val="1E2832"/>
                <w:sz w:val="18"/>
              </w:rPr>
              <w:t>The correct first step is not 'rescue' or 'ignore.' It is to separate measurement distortion from orthogonally supported filtration change before assigning biological meaning.</w:t>
            </w:r>
          </w:p>
        </w:tc>
      </w:tr>
    </w:tbl>
    <w:p>
      <w:pPr>
        <w:spacing w:after="0"/>
      </w:pPr>
    </w:p>
    <w:p>
      <w:pPr>
        <w:pStyle w:val="Heading2"/>
      </w:pPr>
      <w:r>
        <w:t>3.4 Explore-CKD advances 25 mg from speculation to an exact-product rescue candidate</w:t>
      </w:r>
    </w:p>
    <w:p>
      <w:pPr>
        <w:pStyle w:val="Body"/>
      </w:pPr>
      <w:r>
        <w:rPr>
          <w:rFonts w:ascii="Aptos" w:hAnsi="Aptos"/>
          <w:b w:val="0"/>
          <w:i w:val="0"/>
          <w:color w:val="1E2832"/>
          <w:sz w:val="20"/>
        </w:rPr>
        <w:t>Explore-CKD randomized adults with hypertension, CKD, albuminuria, eGFR at least 30 mL/min/1.73 m², and background SGLT2 inhibitor plus ACE inhibitor or ARB therapy in a double-blind crossover design [6,7]. At 25 mg once daily, lorundrostat produced a placebo-adjusted systolic blood-pressure change of -7.5 mm Hg and a placebo-adjusted spot UACR reduction of 25.6% at four weeks. Cystatin-C-based eGFR declined by a placebo-adjusted 4.58%, and confirmed potassium above 6.0 mmol/L occurred in 3 of 58 lorundrostat treatment periods (5%) [7].</w:t>
      </w:r>
    </w:p>
    <w:p>
      <w:pPr>
        <w:pStyle w:val="Body"/>
      </w:pPr>
      <w:r>
        <w:rPr>
          <w:rFonts w:ascii="Aptos" w:hAnsi="Aptos"/>
          <w:b w:val="0"/>
          <w:i w:val="0"/>
          <w:color w:val="1E2832"/>
          <w:sz w:val="20"/>
        </w:rPr>
        <w:t>These data are developmentally important because lower exposure retains pharmacological activity in a lower-reserve population. But Explore-CKD did not randomize participants who developed a safety signal on 50 mg to 25 mg versus continued 50 mg, temporary hold/rechallenge, or a companion strategy. Accordingly, 25 mg is a credible exact-product lower-exposure rescue candidate, not a validated rescue.</w:t>
      </w:r>
    </w:p>
    <w:p>
      <w:pPr>
        <w:pStyle w:val="Heading2"/>
      </w:pPr>
      <w:r>
        <w:t>3.5 CKD is a safety-risk axis, not yet a treatment selector</w:t>
      </w:r>
    </w:p>
    <w:p>
      <w:pPr>
        <w:pStyle w:val="Body"/>
      </w:pPr>
      <w:r>
        <w:rPr>
          <w:rFonts w:ascii="Aptos" w:hAnsi="Aptos"/>
          <w:b w:val="0"/>
          <w:i w:val="0"/>
          <w:color w:val="1E2832"/>
          <w:sz w:val="20"/>
        </w:rPr>
        <w:t>A 2026 post-hoc Launch-HTN analysis reported clinically meaningful blood-pressure reduction in participants with and without CKD and a low but higher confirmed hyperkalemia rate in CKD (2.4% versus 0%) [8]. This supports the concept that antihypertensive benefit may be preserved while renal/electrolyte reserve differs. Because this was post hoc and no validated treatment-by-CKD or rescue-by-CKD interaction has been demonstrated, CKD receives risk-stratification credit but not treatment-selection authority.</w:t>
      </w:r>
    </w:p>
    <w:p>
      <w:pPr>
        <w:pStyle w:val="Heading2"/>
      </w:pPr>
      <w:r>
        <w:t>3.6 Long-duration safety remains a decisive holdout</w:t>
      </w:r>
    </w:p>
    <w:p>
      <w:pPr>
        <w:pStyle w:val="Body"/>
      </w:pPr>
      <w:r>
        <w:rPr>
          <w:rFonts w:ascii="Aptos" w:hAnsi="Aptos"/>
          <w:b w:val="0"/>
          <w:i w:val="0"/>
          <w:color w:val="1E2832"/>
          <w:sz w:val="20"/>
        </w:rPr>
        <w:t>Transform-HTN is a phase 3 open-label extension with 52 weeks of treatment, safety follow-up, and a randomized withdrawal substudy. The current ClinicalTrials.gov record lists 1,076 enrolled participants and no posted results [9]. Long-duration potassium, sodium, eGFR, discontinuation, withdrawal, and reversibility data therefore remain central to any final benefit–risk interpretation.</w:t>
      </w:r>
    </w:p>
    <w:p>
      <w:pPr>
        <w:pStyle w:val="Heading1"/>
      </w:pPr>
      <w:r>
        <w:t>4. Decision-time renal–electrolyte state framework</w:t>
      </w:r>
    </w:p>
    <w:p>
      <w:pPr>
        <w:pStyle w:val="Body"/>
      </w:pPr>
      <w:r>
        <w:rPr>
          <w:rFonts w:ascii="Aptos" w:hAnsi="Aptos"/>
          <w:b w:val="0"/>
          <w:i w:val="0"/>
          <w:color w:val="1E2832"/>
          <w:sz w:val="20"/>
        </w:rPr>
        <w:t>The framework is intentionally asymmetric. It aims to prevent unnecessary rescue when the signal is measurement-dominant while also preventing a provisional benign label from hiding true reserve failure. The states are research states, not validated clinical phenotypes.</w:t>
      </w:r>
    </w:p>
    <w:tbl>
      <w:tblPr>
        <w:tblW w:type="auto" w:w="0"/>
        <w:jc w:val="center"/>
        <w:tblLayout w:type="fixed"/>
        <w:tblLook w:firstColumn="1" w:firstRow="1" w:lastColumn="0" w:lastRow="0" w:noHBand="0" w:noVBand="1" w:val="04A0"/>
      </w:tblPr>
      <w:tblGrid>
        <w:gridCol w:w="792"/>
        <w:gridCol w:w="3672"/>
        <w:gridCol w:w="3240"/>
        <w:gridCol w:w="2376"/>
      </w:tblGrid>
      <w:tr>
        <w:trPr>
          <w:tblHeader w:val="true"/>
          <w:cantSplit/>
        </w:trPr>
        <w:tc>
          <w:tcPr>
            <w:tcW w:type="dxa" w:w="2541"/>
            <w:shd w:fill="142A3E"/>
            <w:tcMar>
              <w:top w:w="80" w:type="dxa"/>
              <w:start w:w="70" w:type="dxa"/>
              <w:bottom w:w="80" w:type="dxa"/>
              <w:end w:w="70" w:type="dxa"/>
            </w:tcMar>
            <w:tcBorders>
              <w:top w:val="single" w:sz="2" w:color="FFFFFF"/>
              <w:bottom w:val="single" w:sz="2" w:color="FFFFFF"/>
              <w:start w:val="single" w:sz="2" w:color="FFFFFF"/>
              <w:end w:val="single" w:sz="2" w:color="FFFFFF"/>
            </w:tcBorders>
          </w:tcPr>
          <w:p>
            <w:r>
              <w:rPr>
                <w:rFonts w:ascii="Aptos" w:hAnsi="Aptos"/>
                <w:b/>
                <w:i w:val="0"/>
                <w:color w:val="FFFFFF"/>
                <w:sz w:val="14"/>
              </w:rPr>
              <w:t>State</w:t>
            </w:r>
          </w:p>
        </w:tc>
        <w:tc>
          <w:tcPr>
            <w:tcW w:type="dxa" w:w="2541"/>
            <w:shd w:fill="142A3E"/>
            <w:tcMar>
              <w:top w:w="80" w:type="dxa"/>
              <w:start w:w="70" w:type="dxa"/>
              <w:bottom w:w="80" w:type="dxa"/>
              <w:end w:w="70" w:type="dxa"/>
            </w:tcMar>
            <w:tcBorders>
              <w:top w:val="single" w:sz="2" w:color="FFFFFF"/>
              <w:bottom w:val="single" w:sz="2" w:color="FFFFFF"/>
              <w:start w:val="single" w:sz="2" w:color="FFFFFF"/>
              <w:end w:val="single" w:sz="2" w:color="FFFFFF"/>
            </w:tcBorders>
          </w:tcPr>
          <w:p>
            <w:r>
              <w:rPr>
                <w:rFonts w:ascii="Aptos" w:hAnsi="Aptos"/>
                <w:b/>
                <w:i w:val="0"/>
                <w:color w:val="FFFFFF"/>
                <w:sz w:val="14"/>
              </w:rPr>
              <w:t>Decision-time interpretation</w:t>
            </w:r>
          </w:p>
        </w:tc>
        <w:tc>
          <w:tcPr>
            <w:tcW w:type="dxa" w:w="2541"/>
            <w:shd w:fill="142A3E"/>
            <w:tcMar>
              <w:top w:w="80" w:type="dxa"/>
              <w:start w:w="70" w:type="dxa"/>
              <w:bottom w:w="80" w:type="dxa"/>
              <w:end w:w="70" w:type="dxa"/>
            </w:tcMar>
            <w:tcBorders>
              <w:top w:val="single" w:sz="2" w:color="FFFFFF"/>
              <w:bottom w:val="single" w:sz="2" w:color="FFFFFF"/>
              <w:start w:val="single" w:sz="2" w:color="FFFFFF"/>
              <w:end w:val="single" w:sz="2" w:color="FFFFFF"/>
            </w:tcBorders>
          </w:tcPr>
          <w:p>
            <w:r>
              <w:rPr>
                <w:rFonts w:ascii="Aptos" w:hAnsi="Aptos"/>
                <w:b/>
                <w:i w:val="0"/>
                <w:color w:val="FFFFFF"/>
                <w:sz w:val="14"/>
              </w:rPr>
              <w:t>Permitted research action</w:t>
            </w:r>
          </w:p>
        </w:tc>
        <w:tc>
          <w:tcPr>
            <w:tcW w:type="dxa" w:w="2541"/>
            <w:shd w:fill="142A3E"/>
            <w:tcMar>
              <w:top w:w="80" w:type="dxa"/>
              <w:start w:w="70" w:type="dxa"/>
              <w:bottom w:w="80" w:type="dxa"/>
              <w:end w:w="70" w:type="dxa"/>
            </w:tcMar>
            <w:tcBorders>
              <w:top w:val="single" w:sz="2" w:color="FFFFFF"/>
              <w:bottom w:val="single" w:sz="2" w:color="FFFFFF"/>
              <w:start w:val="single" w:sz="2" w:color="FFFFFF"/>
              <w:end w:val="single" w:sz="2" w:color="FFFFFF"/>
            </w:tcBorders>
          </w:tcPr>
          <w:p>
            <w:r>
              <w:rPr>
                <w:rFonts w:ascii="Aptos" w:hAnsi="Aptos"/>
                <w:b/>
                <w:i w:val="0"/>
                <w:color w:val="FFFFFF"/>
                <w:sz w:val="14"/>
              </w:rPr>
              <w:t>Forbidden inference</w:t>
            </w:r>
          </w:p>
        </w:tc>
      </w:tr>
      <w:tr>
        <w:trPr>
          <w:cantSplit/>
        </w:trPr>
        <w:tc>
          <w:tcPr>
            <w:tcW w:type="dxa" w:w="792"/>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F0</w:t>
            </w:r>
          </w:p>
        </w:tc>
        <w:tc>
          <w:tcPr>
            <w:tcW w:type="dxa" w:w="3672"/>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Creatinine-discordant apparent decline; orthogonal filtration relatively preserved and no co-failure signal</w:t>
            </w:r>
          </w:p>
        </w:tc>
        <w:tc>
          <w:tcPr>
            <w:tcW w:type="dxa" w:w="3240"/>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Repeat/deconvolve measurement; no renal rescue from creatinine alone</w:t>
            </w:r>
          </w:p>
        </w:tc>
        <w:tc>
          <w:tcPr>
            <w:tcW w:type="dxa" w:w="2376"/>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Creatinine rise = kidney injury</w:t>
            </w:r>
          </w:p>
        </w:tc>
      </w:tr>
      <w:tr>
        <w:trPr>
          <w:cantSplit/>
        </w:trPr>
        <w:tc>
          <w:tcPr>
            <w:tcW w:type="dxa" w:w="792"/>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F1P</w:t>
            </w:r>
          </w:p>
        </w:tc>
        <w:tc>
          <w:tcPr>
            <w:tcW w:type="dxa" w:w="3672"/>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True filtration change compatible with a tolerable functional reset, but benignity unproven</w:t>
            </w:r>
          </w:p>
        </w:tc>
        <w:tc>
          <w:tcPr>
            <w:tcW w:type="dxa" w:w="3240"/>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Monitored continuation vs pre-emptive rescue in a qualified trial</w:t>
            </w:r>
          </w:p>
        </w:tc>
        <w:tc>
          <w:tcPr>
            <w:tcW w:type="dxa" w:w="2376"/>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Later stabilization proves the earlier state was benign</w:t>
            </w:r>
          </w:p>
        </w:tc>
      </w:tr>
      <w:tr>
        <w:trPr>
          <w:cantSplit/>
        </w:trPr>
        <w:tc>
          <w:tcPr>
            <w:tcW w:type="dxa" w:w="792"/>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F2</w:t>
            </w:r>
          </w:p>
        </w:tc>
        <w:tc>
          <w:tcPr>
            <w:tcW w:type="dxa" w:w="3672"/>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True renal/electrolyte reserve-failure-compatible state</w:t>
            </w:r>
          </w:p>
        </w:tc>
        <w:tc>
          <w:tcPr>
            <w:tcW w:type="dxa" w:w="3240"/>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Phenotype-specific randomized rescue if ethically eligible</w:t>
            </w:r>
          </w:p>
        </w:tc>
        <w:tc>
          <w:tcPr>
            <w:tcW w:type="dxa" w:w="2376"/>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Any single marker defines the complete mechanism</w:t>
            </w:r>
          </w:p>
        </w:tc>
      </w:tr>
      <w:tr>
        <w:trPr>
          <w:cantSplit/>
        </w:trPr>
        <w:tc>
          <w:tcPr>
            <w:tcW w:type="dxa" w:w="792"/>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F?</w:t>
            </w:r>
          </w:p>
        </w:tc>
        <w:tc>
          <w:tcPr>
            <w:tcW w:type="dxa" w:w="3672"/>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Mixed, sodium/hemodynamic, co-dominant, or unresolved state</w:t>
            </w:r>
          </w:p>
        </w:tc>
        <w:tc>
          <w:tcPr>
            <w:tcW w:type="dxa" w:w="3240"/>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Abstain; improve measurement or use dedicated protocol</w:t>
            </w:r>
          </w:p>
        </w:tc>
        <w:tc>
          <w:tcPr>
            <w:tcW w:type="dxa" w:w="2376"/>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Force assignment to an available rescue arm</w:t>
            </w:r>
          </w:p>
        </w:tc>
      </w:tr>
    </w:tbl>
    <w:p>
      <w:pPr>
        <w:spacing w:after="20"/>
      </w:pPr>
    </w:p>
    <w:p>
      <w:pPr>
        <w:pStyle w:val="Heading2"/>
      </w:pPr>
      <w:r>
        <w:t>4.1 Why global prediction is insufficient</w:t>
      </w:r>
    </w:p>
    <w:p>
      <w:pPr>
        <w:pStyle w:val="Body"/>
      </w:pPr>
      <w:r>
        <w:rPr>
          <w:rFonts w:ascii="Aptos" w:hAnsi="Aptos"/>
          <w:b w:val="0"/>
          <w:i w:val="0"/>
          <w:color w:val="1E2832"/>
          <w:sz w:val="20"/>
        </w:rPr>
        <w:t>Internal methodological stress tests showed that a model can retain apparently strong global discrimination while performing poorly on the action-critical failure state. Additional tests showed that future trajectory information can make classification appear nearly perfect through temporal leakage, and that a dynamic model should be simplified when it adds little held-out decision value beyond baseline prestate. These internal tests have zero biological authority; they support only the logic of the safety gates.</w:t>
      </w:r>
    </w:p>
    <w:p>
      <w:pPr>
        <w:pStyle w:val="Heading1"/>
      </w:pPr>
      <w:r>
        <w:t>5. Rescue candidates after evidence adjudication</w:t>
      </w:r>
    </w:p>
    <w:tbl>
      <w:tblPr>
        <w:tblW w:type="auto" w:w="0"/>
        <w:jc w:val="center"/>
        <w:tblLayout w:type="fixed"/>
        <w:tblLook w:firstColumn="1" w:firstRow="1" w:lastColumn="0" w:lastRow="0" w:noHBand="0" w:noVBand="1" w:val="04A0"/>
      </w:tblPr>
      <w:tblGrid>
        <w:gridCol w:w="2088"/>
        <w:gridCol w:w="2232"/>
        <w:gridCol w:w="3024"/>
        <w:gridCol w:w="2880"/>
      </w:tblGrid>
      <w:tr>
        <w:trPr>
          <w:tblHeader w:val="true"/>
          <w:cantSplit/>
        </w:trPr>
        <w:tc>
          <w:tcPr>
            <w:tcW w:type="dxa" w:w="2541"/>
            <w:shd w:fill="142A3E"/>
            <w:tcMar>
              <w:top w:w="80" w:type="dxa"/>
              <w:start w:w="70" w:type="dxa"/>
              <w:bottom w:w="80" w:type="dxa"/>
              <w:end w:w="70" w:type="dxa"/>
            </w:tcMar>
            <w:tcBorders>
              <w:top w:val="single" w:sz="2" w:color="FFFFFF"/>
              <w:bottom w:val="single" w:sz="2" w:color="FFFFFF"/>
              <w:start w:val="single" w:sz="2" w:color="FFFFFF"/>
              <w:end w:val="single" w:sz="2" w:color="FFFFFF"/>
            </w:tcBorders>
          </w:tcPr>
          <w:p>
            <w:r>
              <w:rPr>
                <w:rFonts w:ascii="Aptos" w:hAnsi="Aptos"/>
                <w:b/>
                <w:i w:val="0"/>
                <w:color w:val="FFFFFF"/>
                <w:sz w:val="14"/>
              </w:rPr>
              <w:t>Candidate</w:t>
            </w:r>
          </w:p>
        </w:tc>
        <w:tc>
          <w:tcPr>
            <w:tcW w:type="dxa" w:w="2541"/>
            <w:shd w:fill="142A3E"/>
            <w:tcMar>
              <w:top w:w="80" w:type="dxa"/>
              <w:start w:w="70" w:type="dxa"/>
              <w:bottom w:w="80" w:type="dxa"/>
              <w:end w:w="70" w:type="dxa"/>
            </w:tcMar>
            <w:tcBorders>
              <w:top w:val="single" w:sz="2" w:color="FFFFFF"/>
              <w:bottom w:val="single" w:sz="2" w:color="FFFFFF"/>
              <w:start w:val="single" w:sz="2" w:color="FFFFFF"/>
              <w:end w:val="single" w:sz="2" w:color="FFFFFF"/>
            </w:tcBorders>
          </w:tcPr>
          <w:p>
            <w:r>
              <w:rPr>
                <w:rFonts w:ascii="Aptos" w:hAnsi="Aptos"/>
                <w:b/>
                <w:i w:val="0"/>
                <w:color w:val="FFFFFF"/>
                <w:sz w:val="14"/>
              </w:rPr>
              <w:t>Current status</w:t>
            </w:r>
          </w:p>
        </w:tc>
        <w:tc>
          <w:tcPr>
            <w:tcW w:type="dxa" w:w="2541"/>
            <w:shd w:fill="142A3E"/>
            <w:tcMar>
              <w:top w:w="80" w:type="dxa"/>
              <w:start w:w="70" w:type="dxa"/>
              <w:bottom w:w="80" w:type="dxa"/>
              <w:end w:w="70" w:type="dxa"/>
            </w:tcMar>
            <w:tcBorders>
              <w:top w:val="single" w:sz="2" w:color="FFFFFF"/>
              <w:bottom w:val="single" w:sz="2" w:color="FFFFFF"/>
              <w:start w:val="single" w:sz="2" w:color="FFFFFF"/>
              <w:end w:val="single" w:sz="2" w:color="FFFFFF"/>
            </w:tcBorders>
          </w:tcPr>
          <w:p>
            <w:r>
              <w:rPr>
                <w:rFonts w:ascii="Aptos" w:hAnsi="Aptos"/>
                <w:b/>
                <w:i w:val="0"/>
                <w:color w:val="FFFFFF"/>
                <w:sz w:val="14"/>
              </w:rPr>
              <w:t>Why</w:t>
            </w:r>
          </w:p>
        </w:tc>
        <w:tc>
          <w:tcPr>
            <w:tcW w:type="dxa" w:w="2541"/>
            <w:shd w:fill="142A3E"/>
            <w:tcMar>
              <w:top w:w="80" w:type="dxa"/>
              <w:start w:w="70" w:type="dxa"/>
              <w:bottom w:w="80" w:type="dxa"/>
              <w:end w:w="70" w:type="dxa"/>
            </w:tcMar>
            <w:tcBorders>
              <w:top w:val="single" w:sz="2" w:color="FFFFFF"/>
              <w:bottom w:val="single" w:sz="2" w:color="FFFFFF"/>
              <w:start w:val="single" w:sz="2" w:color="FFFFFF"/>
              <w:end w:val="single" w:sz="2" w:color="FFFFFF"/>
            </w:tcBorders>
          </w:tcPr>
          <w:p>
            <w:r>
              <w:rPr>
                <w:rFonts w:ascii="Aptos" w:hAnsi="Aptos"/>
                <w:b/>
                <w:i w:val="0"/>
                <w:color w:val="FFFFFF"/>
                <w:sz w:val="14"/>
              </w:rPr>
              <w:t>What is still missing</w:t>
            </w:r>
          </w:p>
        </w:tc>
      </w:tr>
      <w:tr>
        <w:trPr>
          <w:cantSplit/>
        </w:trPr>
        <w:tc>
          <w:tcPr>
            <w:tcW w:type="dxa" w:w="2088"/>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Fixed 50 mg anchor</w:t>
            </w:r>
          </w:p>
        </w:tc>
        <w:tc>
          <w:tcPr>
            <w:tcW w:type="dxa" w:w="2232"/>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Population anchor supported</w:t>
            </w:r>
          </w:p>
        </w:tc>
        <w:tc>
          <w:tcPr>
            <w:tcW w:type="dxa" w:w="3024"/>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Replicated BP efficacy; no demonstrated advantage of optional escalation</w:t>
            </w:r>
          </w:p>
        </w:tc>
        <w:tc>
          <w:tcPr>
            <w:tcW w:type="dxa" w:w="2880"/>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Not a patient-level selector</w:t>
            </w:r>
          </w:p>
        </w:tc>
      </w:tr>
      <w:tr>
        <w:trPr>
          <w:cantSplit/>
        </w:trPr>
        <w:tc>
          <w:tcPr>
            <w:tcW w:type="dxa" w:w="2088"/>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Automatic 100-mg escalation</w:t>
            </w:r>
          </w:p>
        </w:tc>
        <w:tc>
          <w:tcPr>
            <w:tcW w:type="dxa" w:w="2232"/>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Downgraded as default rescue</w:t>
            </w:r>
          </w:p>
        </w:tc>
        <w:tc>
          <w:tcPr>
            <w:tcW w:type="dxa" w:w="3024"/>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Randomized policy evidence does not show net-benefit superiority</w:t>
            </w:r>
          </w:p>
        </w:tc>
        <w:tc>
          <w:tcPr>
            <w:tcW w:type="dxa" w:w="2880"/>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Causal value in an eligible state not identified</w:t>
            </w:r>
          </w:p>
        </w:tc>
      </w:tr>
      <w:tr>
        <w:trPr>
          <w:cantSplit/>
        </w:trPr>
        <w:tc>
          <w:tcPr>
            <w:tcW w:type="dxa" w:w="2088"/>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Lower exposure (25 mg)</w:t>
            </w:r>
          </w:p>
        </w:tc>
        <w:tc>
          <w:tcPr>
            <w:tcW w:type="dxa" w:w="2232"/>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Advance as exact-product rescue candidate</w:t>
            </w:r>
          </w:p>
        </w:tc>
        <w:tc>
          <w:tcPr>
            <w:tcW w:type="dxa" w:w="3024"/>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Explore-CKD shows BP/UACR activity at 25 mg in CKD</w:t>
            </w:r>
          </w:p>
        </w:tc>
        <w:tc>
          <w:tcPr>
            <w:tcW w:type="dxa" w:w="2880"/>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Same-prestate 25-vs-50 or sequential causal comparison after safety signal</w:t>
            </w:r>
          </w:p>
        </w:tc>
      </w:tr>
      <w:tr>
        <w:trPr>
          <w:cantSplit/>
        </w:trPr>
        <w:tc>
          <w:tcPr>
            <w:tcW w:type="dxa" w:w="2088"/>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Temporary hold / rechallenge</w:t>
            </w:r>
          </w:p>
        </w:tc>
        <w:tc>
          <w:tcPr>
            <w:tcW w:type="dxa" w:w="2232"/>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Candidate</w:t>
            </w:r>
          </w:p>
        </w:tc>
        <w:tc>
          <w:tcPr>
            <w:tcW w:type="dxa" w:w="3024"/>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Protocol management and reversibility logic are plausible</w:t>
            </w:r>
          </w:p>
        </w:tc>
        <w:tc>
          <w:tcPr>
            <w:tcW w:type="dxa" w:w="2880"/>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Randomized or valid sequential rescue evidence</w:t>
            </w:r>
          </w:p>
        </w:tc>
      </w:tr>
      <w:tr>
        <w:trPr>
          <w:cantSplit/>
        </w:trPr>
        <w:tc>
          <w:tcPr>
            <w:tcW w:type="dxa" w:w="2088"/>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Potassium-management companion</w:t>
            </w:r>
          </w:p>
        </w:tc>
        <w:tc>
          <w:tcPr>
            <w:tcW w:type="dxa" w:w="2232"/>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Strong class prior; exact-product unproven</w:t>
            </w:r>
          </w:p>
        </w:tc>
        <w:tc>
          <w:tcPr>
            <w:tcW w:type="dxa" w:w="3024"/>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AMBER shows potassium binding can preserve aldosterone-pathway therapy in CKD</w:t>
            </w:r>
          </w:p>
        </w:tc>
        <w:tc>
          <w:tcPr>
            <w:tcW w:type="dxa" w:w="2880"/>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Lorundrostat-specific randomized companion comparison</w:t>
            </w:r>
          </w:p>
        </w:tc>
      </w:tr>
      <w:tr>
        <w:trPr>
          <w:cantSplit/>
        </w:trPr>
        <w:tc>
          <w:tcPr>
            <w:tcW w:type="dxa" w:w="2088"/>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SGLT2i / diuretic background</w:t>
            </w:r>
          </w:p>
        </w:tc>
        <w:tc>
          <w:tcPr>
            <w:tcW w:type="dxa" w:w="2232"/>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Context/prior only</w:t>
            </w:r>
          </w:p>
        </w:tc>
        <w:tc>
          <w:tcPr>
            <w:tcW w:type="dxa" w:w="3024"/>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Class data associate these contexts with lower hyperkalemia risk</w:t>
            </w:r>
          </w:p>
        </w:tc>
        <w:tc>
          <w:tcPr>
            <w:tcW w:type="dxa" w:w="2880"/>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Factorial or valid causal lorundrostat contrast</w:t>
            </w:r>
          </w:p>
        </w:tc>
      </w:tr>
      <w:tr>
        <w:trPr>
          <w:cantSplit/>
        </w:trPr>
        <w:tc>
          <w:tcPr>
            <w:tcW w:type="dxa" w:w="2088"/>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Cardiac-reserve-directed rescue</w:t>
            </w:r>
          </w:p>
        </w:tc>
        <w:tc>
          <w:tcPr>
            <w:tcW w:type="dxa" w:w="2232"/>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Underidentified</w:t>
            </w:r>
          </w:p>
        </w:tc>
        <w:tc>
          <w:tcPr>
            <w:tcW w:type="dxa" w:w="3024"/>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Favorable biomarker PD is hypothesis-supporting only</w:t>
            </w:r>
          </w:p>
        </w:tc>
        <w:tc>
          <w:tcPr>
            <w:tcW w:type="dxa" w:w="2880"/>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Clinical outcome or state×treatment interaction evidence</w:t>
            </w:r>
          </w:p>
        </w:tc>
      </w:tr>
    </w:tbl>
    <w:p>
      <w:pPr>
        <w:spacing w:after="20"/>
      </w:pPr>
    </w:p>
    <w:p>
      <w:pPr>
        <w:pStyle w:val="Heading2"/>
      </w:pPr>
      <w:r>
        <w:t>5.1 Potassium-management rescue: why class evidence is relevant but insufficient</w:t>
      </w:r>
    </w:p>
    <w:p>
      <w:pPr>
        <w:pStyle w:val="Body"/>
      </w:pPr>
      <w:r>
        <w:rPr>
          <w:rFonts w:ascii="Aptos" w:hAnsi="Aptos"/>
          <w:b w:val="0"/>
          <w:i w:val="0"/>
          <w:color w:val="1E2832"/>
          <w:sz w:val="20"/>
        </w:rPr>
        <w:t>The AMBER randomized trial showed that patiromer enabled more persistent use of spironolactone in resistant hypertension with advanced CKD, establishing a strong proof of principle that potassium management can preserve therapy along the aldosterone pathway [10]. FIDELIO-DKD further showed that higher baseline potassium, lower eGFR, and higher albuminuria predict hyperkalemia risk during finerenone therapy, and that protocol-guided interruption/restart can mitigate risk [11]. These findings justify a lorundrostat potassium-management branch for testing; they do not validate patiromer, SGLT2 inhibition, or diuretics as lorundrostat-specific rescue.</w:t>
      </w:r>
    </w:p>
    <w:p>
      <w:pPr>
        <w:pStyle w:val="Heading2"/>
      </w:pPr>
      <w:r>
        <w:t>5.2 Cross-disease filtration precedents constrain interpretation</w:t>
      </w:r>
    </w:p>
    <w:p>
      <w:pPr>
        <w:pStyle w:val="Body"/>
      </w:pPr>
      <w:r>
        <w:rPr>
          <w:rFonts w:ascii="Aptos" w:hAnsi="Aptos"/>
          <w:b w:val="0"/>
          <w:i w:val="0"/>
          <w:color w:val="1E2832"/>
          <w:sz w:val="20"/>
        </w:rPr>
        <w:t>DAPA-CKD and FINEARTS-HF demonstrate that an early eGFR decline can coexist with later therapeutic benefit in other cardiorenal drug contexts [12,13]. These data support the plausibility of a provisional adaptive-compatible state. They cannot be used to label a lorundrostat-associated filtration decline benign without direct product-specific validation.</w:t>
      </w:r>
    </w:p>
    <w:p>
      <w:pPr>
        <w:pStyle w:val="Heading1"/>
      </w:pPr>
      <w:r>
        <w:t>6. Decisive next experiment: nested randomized rescue</w:t>
      </w:r>
    </w:p>
    <w:p>
      <w:pPr>
        <w:pStyle w:val="Body"/>
      </w:pPr>
      <w:r>
        <w:rPr>
          <w:rFonts w:ascii="Aptos" w:hAnsi="Aptos"/>
          <w:b w:val="0"/>
          <w:i w:val="0"/>
          <w:color w:val="1E2832"/>
          <w:sz w:val="20"/>
        </w:rPr>
        <w:t>The remaining question is not which rescue looks most attractive in aggregate data. It is whether a pre-decision state modifies the causal benefit of one rescue versus another while antihypertensive benefit is preserved. The proposed design therefore separates eligibility, state identification, rescue randomization, and whole-policy evaluation.</w:t>
      </w:r>
    </w:p>
    <w:p>
      <w:pPr>
        <w:pStyle w:val="Heading2"/>
      </w:pPr>
      <w:r>
        <w:t>6.1 Stage 0 — qualified anchor and pre-decision state</w:t>
      </w:r>
    </w:p>
    <w:p>
      <w:pPr>
        <w:pStyle w:val="Body"/>
        <w:ind w:left="317" w:hanging="187"/>
      </w:pPr>
      <w:r>
        <w:rPr>
          <w:rFonts w:ascii="Aptos" w:hAnsi="Aptos"/>
          <w:b/>
          <w:i w:val="0"/>
          <w:color w:val="0B7D86"/>
          <w:sz w:val="20"/>
        </w:rPr>
        <w:t xml:space="preserve">• </w:t>
      </w:r>
      <w:r>
        <w:rPr>
          <w:rFonts w:ascii="Aptos" w:hAnsi="Aptos"/>
          <w:b w:val="0"/>
          <w:i w:val="0"/>
          <w:color w:val="1E2832"/>
          <w:sz w:val="20"/>
        </w:rPr>
        <w:t>Begin from a protocol-qualified effective exposure anchor; fixed 50 mg is currently the strongest population-level anchor, not a universal patient-specific dose.</w:t>
      </w:r>
    </w:p>
    <w:p>
      <w:pPr>
        <w:pStyle w:val="Body"/>
        <w:ind w:left="317" w:hanging="187"/>
      </w:pPr>
      <w:r>
        <w:rPr>
          <w:rFonts w:ascii="Aptos" w:hAnsi="Aptos"/>
          <w:b/>
          <w:i w:val="0"/>
          <w:color w:val="0B7D86"/>
          <w:sz w:val="20"/>
        </w:rPr>
        <w:t xml:space="preserve">• </w:t>
      </w:r>
      <w:r>
        <w:rPr>
          <w:rFonts w:ascii="Aptos" w:hAnsi="Aptos"/>
          <w:b w:val="0"/>
          <w:i w:val="0"/>
          <w:color w:val="1E2832"/>
          <w:sz w:val="20"/>
        </w:rPr>
        <w:t>Record exact dose, adherence, treatment history, achieved exposure or pharmacodynamic response where feasible, repeated blood pressure, creatinine/eGFR, cystatin C or another orthogonal filtration measure, potassium, sodium, UACR/CKD state, volume/hemodynamic status, and relevant concomitant drugs.</w:t>
      </w:r>
    </w:p>
    <w:p>
      <w:pPr>
        <w:pStyle w:val="Body"/>
        <w:ind w:left="317" w:hanging="187"/>
      </w:pPr>
      <w:r>
        <w:rPr>
          <w:rFonts w:ascii="Aptos" w:hAnsi="Aptos"/>
          <w:b/>
          <w:i w:val="0"/>
          <w:color w:val="0B7D86"/>
          <w:sz w:val="20"/>
        </w:rPr>
        <w:t xml:space="preserve">• </w:t>
      </w:r>
      <w:r>
        <w:rPr>
          <w:rFonts w:ascii="Aptos" w:hAnsi="Aptos"/>
          <w:b w:val="0"/>
          <w:i w:val="0"/>
          <w:color w:val="1E2832"/>
          <w:sz w:val="20"/>
        </w:rPr>
        <w:t>Define rescue eligibility before action: preserved clinically meaningful blood-pressure response plus a prespecified, non-emergent renal/electrolyte signal that permits ethical randomization.</w:t>
      </w:r>
    </w:p>
    <w:p>
      <w:pPr>
        <w:pStyle w:val="Body"/>
        <w:ind w:left="317" w:hanging="187"/>
      </w:pPr>
      <w:r>
        <w:rPr>
          <w:rFonts w:ascii="Aptos" w:hAnsi="Aptos"/>
          <w:b/>
          <w:i w:val="0"/>
          <w:color w:val="0B7D86"/>
          <w:sz w:val="20"/>
        </w:rPr>
        <w:t xml:space="preserve">• </w:t>
      </w:r>
      <w:r>
        <w:rPr>
          <w:rFonts w:ascii="Aptos" w:hAnsi="Aptos"/>
          <w:b w:val="0"/>
          <w:i w:val="0"/>
          <w:color w:val="1E2832"/>
          <w:sz w:val="20"/>
        </w:rPr>
        <w:t>Emergency or severe events bypass experimental randomization and receive standard safety management.</w:t>
      </w:r>
    </w:p>
    <w:p>
      <w:pPr>
        <w:pStyle w:val="Heading2"/>
      </w:pPr>
      <w:r>
        <w:t>6.2 Stage 1 — phenotype-specific rescue randomization</w:t>
      </w:r>
    </w:p>
    <w:p>
      <w:pPr>
        <w:pStyle w:val="Body"/>
      </w:pPr>
      <w:r>
        <w:rPr>
          <w:rFonts w:ascii="Aptos" w:hAnsi="Aptos"/>
          <w:b w:val="0"/>
          <w:i w:val="0"/>
          <w:color w:val="1E2832"/>
          <w:sz w:val="20"/>
        </w:rPr>
        <w:t>Within the eligible state, the rescue branch should depend on the dominant observed safety phenotype, while avoiding post-hoc selection masquerading as causal evidence.</w:t>
      </w:r>
    </w:p>
    <w:tbl>
      <w:tblPr>
        <w:tblW w:type="auto" w:w="0"/>
        <w:jc w:val="center"/>
        <w:tblLayout w:type="fixed"/>
        <w:tblLook w:firstColumn="1" w:firstRow="1" w:lastColumn="0" w:lastRow="0" w:noHBand="0" w:noVBand="1" w:val="04A0"/>
      </w:tblPr>
      <w:tblGrid>
        <w:gridCol w:w="2376"/>
        <w:gridCol w:w="4608"/>
        <w:gridCol w:w="2952"/>
      </w:tblGrid>
      <w:tr>
        <w:trPr>
          <w:tblHeader w:val="true"/>
          <w:cantSplit/>
        </w:trPr>
        <w:tc>
          <w:tcPr>
            <w:tcW w:type="dxa" w:w="3389"/>
            <w:shd w:fill="142A3E"/>
            <w:tcMar>
              <w:top w:w="80" w:type="dxa"/>
              <w:start w:w="70" w:type="dxa"/>
              <w:bottom w:w="80" w:type="dxa"/>
              <w:end w:w="70" w:type="dxa"/>
            </w:tcMar>
            <w:tcBorders>
              <w:top w:val="single" w:sz="2" w:color="FFFFFF"/>
              <w:bottom w:val="single" w:sz="2" w:color="FFFFFF"/>
              <w:start w:val="single" w:sz="2" w:color="FFFFFF"/>
              <w:end w:val="single" w:sz="2" w:color="FFFFFF"/>
            </w:tcBorders>
          </w:tcPr>
          <w:p>
            <w:r>
              <w:rPr>
                <w:rFonts w:ascii="Aptos" w:hAnsi="Aptos"/>
                <w:b/>
                <w:i w:val="0"/>
                <w:color w:val="FFFFFF"/>
                <w:sz w:val="14"/>
              </w:rPr>
              <w:t>Phenotype</w:t>
            </w:r>
          </w:p>
        </w:tc>
        <w:tc>
          <w:tcPr>
            <w:tcW w:type="dxa" w:w="3389"/>
            <w:shd w:fill="142A3E"/>
            <w:tcMar>
              <w:top w:w="80" w:type="dxa"/>
              <w:start w:w="70" w:type="dxa"/>
              <w:bottom w:w="80" w:type="dxa"/>
              <w:end w:w="70" w:type="dxa"/>
            </w:tcMar>
            <w:tcBorders>
              <w:top w:val="single" w:sz="2" w:color="FFFFFF"/>
              <w:bottom w:val="single" w:sz="2" w:color="FFFFFF"/>
              <w:start w:val="single" w:sz="2" w:color="FFFFFF"/>
              <w:end w:val="single" w:sz="2" w:color="FFFFFF"/>
            </w:tcBorders>
          </w:tcPr>
          <w:p>
            <w:r>
              <w:rPr>
                <w:rFonts w:ascii="Aptos" w:hAnsi="Aptos"/>
                <w:b/>
                <w:i w:val="0"/>
                <w:color w:val="FFFFFF"/>
                <w:sz w:val="14"/>
              </w:rPr>
              <w:t>Candidate comparison</w:t>
            </w:r>
          </w:p>
        </w:tc>
        <w:tc>
          <w:tcPr>
            <w:tcW w:type="dxa" w:w="3389"/>
            <w:shd w:fill="142A3E"/>
            <w:tcMar>
              <w:top w:w="80" w:type="dxa"/>
              <w:start w:w="70" w:type="dxa"/>
              <w:bottom w:w="80" w:type="dxa"/>
              <w:end w:w="70" w:type="dxa"/>
            </w:tcMar>
            <w:tcBorders>
              <w:top w:val="single" w:sz="2" w:color="FFFFFF"/>
              <w:bottom w:val="single" w:sz="2" w:color="FFFFFF"/>
              <w:start w:val="single" w:sz="2" w:color="FFFFFF"/>
              <w:end w:val="single" w:sz="2" w:color="FFFFFF"/>
            </w:tcBorders>
          </w:tcPr>
          <w:p>
            <w:r>
              <w:rPr>
                <w:rFonts w:ascii="Aptos" w:hAnsi="Aptos"/>
                <w:b/>
                <w:i w:val="0"/>
                <w:color w:val="FFFFFF"/>
                <w:sz w:val="14"/>
              </w:rPr>
              <w:t>Research purpose</w:t>
            </w:r>
          </w:p>
        </w:tc>
      </w:tr>
      <w:tr>
        <w:trPr>
          <w:cantSplit/>
        </w:trPr>
        <w:tc>
          <w:tcPr>
            <w:tcW w:type="dxa" w:w="2376"/>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Potassium-predominant</w:t>
            </w:r>
          </w:p>
        </w:tc>
        <w:tc>
          <w:tcPr>
            <w:tcW w:type="dxa" w:w="4608"/>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Lower exposure or hold/rechallenge vs potassium-management companion where ethically justified</w:t>
            </w:r>
          </w:p>
        </w:tc>
        <w:tc>
          <w:tcPr>
            <w:tcW w:type="dxa" w:w="2952"/>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Can BP benefit be retained while preventing confirmed potassium failure?</w:t>
            </w:r>
          </w:p>
        </w:tc>
      </w:tr>
      <w:tr>
        <w:trPr>
          <w:cantSplit/>
        </w:trPr>
        <w:tc>
          <w:tcPr>
            <w:tcW w:type="dxa" w:w="2376"/>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Filtration-predominant without severe hyperkalemia</w:t>
            </w:r>
          </w:p>
        </w:tc>
        <w:tc>
          <w:tcPr>
            <w:tcW w:type="dxa" w:w="4608"/>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Lower exposure vs temporary hold/rechallenge; monitored continuation only if ethically justified</w:t>
            </w:r>
          </w:p>
        </w:tc>
        <w:tc>
          <w:tcPr>
            <w:tcW w:type="dxa" w:w="2952"/>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Does lower exposure preserve benefit without sustained orthogonal filtration deterioration?</w:t>
            </w:r>
          </w:p>
        </w:tc>
      </w:tr>
      <w:tr>
        <w:trPr>
          <w:cantSplit/>
        </w:trPr>
        <w:tc>
          <w:tcPr>
            <w:tcW w:type="dxa" w:w="2376"/>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Sodium/hypotension/volume</w:t>
            </w:r>
          </w:p>
        </w:tc>
        <w:tc>
          <w:tcPr>
            <w:tcW w:type="dxa" w:w="4608"/>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Separately prespecified adaptation</w:t>
            </w:r>
          </w:p>
        </w:tc>
        <w:tc>
          <w:tcPr>
            <w:tcW w:type="dxa" w:w="2952"/>
            <w:shd w:fill="FFFFFF"/>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Do not import a potassium rescue into a different failure mechanism.</w:t>
            </w:r>
          </w:p>
        </w:tc>
      </w:tr>
      <w:tr>
        <w:trPr>
          <w:cantSplit/>
        </w:trPr>
        <w:tc>
          <w:tcPr>
            <w:tcW w:type="dxa" w:w="2376"/>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Mixed/unresolved</w:t>
            </w:r>
          </w:p>
        </w:tc>
        <w:tc>
          <w:tcPr>
            <w:tcW w:type="dxa" w:w="4608"/>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No forced rescue assignment</w:t>
            </w:r>
          </w:p>
        </w:tc>
        <w:tc>
          <w:tcPr>
            <w:tcW w:type="dxa" w:w="2952"/>
            <w:shd w:fill="F4F7F9"/>
            <w:tcMar>
              <w:top w:w="70" w:type="dxa"/>
              <w:start w:w="70" w:type="dxa"/>
              <w:bottom w:w="70" w:type="dxa"/>
              <w:end w:w="70" w:type="dxa"/>
            </w:tcMar>
            <w:tcBorders>
              <w:top w:val="single" w:sz="3" w:color="DCE3E8"/>
              <w:bottom w:val="single" w:sz="3" w:color="DCE3E8"/>
              <w:start w:val="single" w:sz="3" w:color="DCE3E8"/>
              <w:end w:val="single" w:sz="3" w:color="DCE3E8"/>
            </w:tcBorders>
            <w:vAlign w:val="center"/>
          </w:tcPr>
          <w:p>
            <w:r>
              <w:rPr>
                <w:rFonts w:ascii="Aptos" w:hAnsi="Aptos"/>
                <w:b w:val="0"/>
                <w:i w:val="0"/>
                <w:color w:val="1E2832"/>
                <w:sz w:val="14"/>
              </w:rPr>
              <w:t>Improve measurement or use a dedicated protocol.</w:t>
            </w:r>
          </w:p>
        </w:tc>
      </w:tr>
    </w:tbl>
    <w:p>
      <w:pPr>
        <w:spacing w:after="20"/>
      </w:pPr>
    </w:p>
    <w:p>
      <w:pPr>
        <w:pStyle w:val="Heading2"/>
      </w:pPr>
      <w:r>
        <w:t>6.3 Primary estimand — preserved net therapeutic state</w:t>
      </w:r>
    </w:p>
    <w:p>
      <w:pPr>
        <w:pStyle w:val="Body"/>
      </w:pPr>
      <w:r>
        <w:rPr>
          <w:rFonts w:ascii="Aptos" w:hAnsi="Aptos"/>
          <w:b w:val="0"/>
          <w:i w:val="0"/>
          <w:color w:val="1E2832"/>
          <w:sz w:val="20"/>
        </w:rPr>
        <w:t>A rescue should not win because one laboratory value improves. The primary treatment-policy estimand should be the probability of retaining a prespecified blood-pressure benefit through the rescue window without confirmed clinically important hyperkalemia, significant hyponatremia, sustained material orthogonally supported eGFR deterioration, symptomatic hypotension/volume failure, or toxicity-driven permanent discontinuation. Each component should also be reported separately.</w:t>
      </w:r>
    </w:p>
    <w:tbl>
      <w:tblPr>
        <w:tblW w:type="auto" w:w="0"/>
        <w:jc w:val="center"/>
        <w:tblLayout w:type="fixed"/>
        <w:tblLook w:firstColumn="1" w:firstRow="1" w:lastColumn="0" w:lastRow="0" w:noHBand="0" w:noVBand="1" w:val="04A0"/>
      </w:tblPr>
      <w:tblGrid>
        <w:gridCol w:w="115"/>
        <w:gridCol w:w="9878"/>
      </w:tblGrid>
      <w:tr>
        <w:trPr>
          <w:tblHeader w:val="true"/>
          <w:cantSplit/>
        </w:trPr>
        <w:tc>
          <w:tcPr>
            <w:tcW w:type="dxa" w:w="5083"/>
            <w:shd w:fill="9B3D43"/>
          </w:tcPr>
          <w:p/>
        </w:tc>
        <w:tc>
          <w:tcPr>
            <w:tcW w:type="dxa" w:w="5083"/>
            <w:shd w:fill="FBEFF0"/>
            <w:tcMar>
              <w:top w:w="120" w:type="dxa"/>
              <w:start w:w="140" w:type="dxa"/>
              <w:bottom w:w="120" w:type="dxa"/>
              <w:end w:w="140" w:type="dxa"/>
            </w:tcMar>
          </w:tcPr>
          <w:p>
            <w:r>
              <w:rPr>
                <w:rFonts w:ascii="Aptos" w:hAnsi="Aptos"/>
                <w:b/>
                <w:i w:val="0"/>
                <w:color w:val="9B3D43"/>
                <w:sz w:val="19"/>
              </w:rPr>
              <w:t>Bottleneck-migration rule</w:t>
              <w:br/>
            </w:r>
            <w:r>
              <w:rPr>
                <w:rFonts w:ascii="Aptos" w:hAnsi="Aptos"/>
                <w:b w:val="0"/>
                <w:i w:val="0"/>
                <w:color w:val="1E2832"/>
                <w:sz w:val="18"/>
              </w:rPr>
              <w:t>A rescue fails if it solves potassium but sacrifices blood-pressure control, shifts failure into sodium, filtration, hypotension/volume, or permanent discontinuation. Net therapeutic preservation is noncompensatory.</w:t>
            </w:r>
          </w:p>
        </w:tc>
      </w:tr>
    </w:tbl>
    <w:p>
      <w:pPr>
        <w:spacing w:after="0"/>
      </w:pPr>
    </w:p>
    <w:p>
      <w:pPr>
        <w:pStyle w:val="Heading2"/>
      </w:pPr>
      <w:r>
        <w:t>6.4 Whole-policy superiority is a second question</w:t>
      </w:r>
    </w:p>
    <w:p>
      <w:pPr>
        <w:pStyle w:val="Body"/>
      </w:pPr>
      <w:r>
        <w:rPr>
          <w:rFonts w:ascii="Aptos" w:hAnsi="Aptos"/>
          <w:b w:val="0"/>
          <w:i w:val="0"/>
          <w:color w:val="1E2832"/>
          <w:sz w:val="20"/>
        </w:rPr>
        <w:t>Within-state randomization identifies a rescue effect conditional on a qualified state. It does not establish that the full adaptive policy — monitor, classify, abstain, rescue — is superior to a simpler fixed-dose or standard-monitoring policy. Any claim of whole-policy superiority requires an outer randomized policy comparison or a sequential design with equivalent causal identification.</w:t>
      </w:r>
    </w:p>
    <w:p>
      <w:pPr>
        <w:pStyle w:val="Heading1"/>
      </w:pPr>
      <w:r>
        <w:t>7. Discussion</w:t>
      </w:r>
    </w:p>
    <w:p>
      <w:pPr>
        <w:pStyle w:val="Body"/>
      </w:pPr>
      <w:r>
        <w:rPr>
          <w:rFonts w:ascii="Aptos" w:hAnsi="Aptos"/>
          <w:b w:val="0"/>
          <w:i w:val="0"/>
          <w:color w:val="1E2832"/>
          <w:sz w:val="20"/>
        </w:rPr>
        <w:t>The main contribution of this work is a development solution, not a dosing recommendation. The evidence now supports a narrower architecture than either automatic escalation or indiscriminate discontinuation. First, apparent renal decline must be decomposed into measurement and true filtration components. Second, an early filtration change can remain provisional rather than being forced into 'toxicity' or 'adaptation.' Third, rescue actions require their own causal comparison within a pre-decision state. Fourth, a rescue must preserve blood-pressure benefit while avoiding migration of failure to another safety axis.</w:t>
      </w:r>
    </w:p>
    <w:p>
      <w:pPr>
        <w:pStyle w:val="Body"/>
      </w:pPr>
      <w:r>
        <w:rPr>
          <w:rFonts w:ascii="Aptos" w:hAnsi="Aptos"/>
          <w:b w:val="0"/>
          <w:i w:val="0"/>
          <w:color w:val="1E2832"/>
          <w:sz w:val="20"/>
        </w:rPr>
        <w:t>The updated evidence also changes candidate ranking. Fixed 50 mg has the strongest replicated population evidence and should remain the reference anchor for development questions. Optional 100-mg escalation has not demonstrated aggregate net-benefit superiority and should not be promoted as an automatic default. Explore-CKD provides the first exact-product reason to take 25 mg seriously as a lower-exposure rescue candidate in reduced renal reserve, while simultaneously showing that lower exposure does not abolish eGFR and potassium liability. Potassium-binder therapy is biologically and clinically plausible through randomized class evidence, but remains unvalidated for lorundrostat.</w:t>
      </w:r>
    </w:p>
    <w:p>
      <w:pPr>
        <w:pStyle w:val="Body"/>
      </w:pPr>
      <w:r>
        <w:rPr>
          <w:rFonts w:ascii="Aptos" w:hAnsi="Aptos"/>
          <w:b w:val="0"/>
          <w:i w:val="0"/>
          <w:color w:val="1E2832"/>
          <w:sz w:val="20"/>
        </w:rPr>
        <w:t>The distinction between risk stratification and treatment selection is equally important. CKD, higher potassium, reduced eGFR, and albuminuria can identify higher-risk contexts without identifying which rescue will produce the best net outcome. A useful risk marker becomes a treatment selector only after a valid state×action interaction or equivalent sequential causal contrast is demonstrated.</w:t>
      </w:r>
    </w:p>
    <w:p>
      <w:pPr>
        <w:pStyle w:val="Heading2"/>
      </w:pPr>
      <w:r>
        <w:t>7.1 Regulatory and class context</w:t>
      </w:r>
    </w:p>
    <w:p>
      <w:pPr>
        <w:pStyle w:val="Body"/>
      </w:pPr>
      <w:r>
        <w:rPr>
          <w:rFonts w:ascii="Aptos" w:hAnsi="Aptos"/>
          <w:b w:val="0"/>
          <w:i w:val="0"/>
          <w:color w:val="1E2832"/>
          <w:sz w:val="20"/>
        </w:rPr>
        <w:t>FDA approval of baxdrostat (Baxfendy) in May 2026 confirms regulatory viability of the aldosterone-synthase-inhibitor class [14]. It does not provide lorundrostat-specific approval or rescue credit. The lorundrostat NDA remains pending, with a PDUFA target of 22 December 2026 [4]. This prospective holdout should remain untouched by retrospective reinterpretation.</w:t>
      </w:r>
    </w:p>
    <w:p>
      <w:pPr>
        <w:pStyle w:val="Heading2"/>
      </w:pPr>
      <w:r>
        <w:t>7.2 What would falsify or simplify the framework?</w:t>
      </w:r>
    </w:p>
    <w:p>
      <w:pPr>
        <w:pStyle w:val="Body"/>
        <w:ind w:left="317" w:hanging="187"/>
      </w:pPr>
      <w:r>
        <w:rPr>
          <w:rFonts w:ascii="Aptos" w:hAnsi="Aptos"/>
          <w:b/>
          <w:i w:val="0"/>
          <w:color w:val="0B7D86"/>
          <w:sz w:val="20"/>
        </w:rPr>
        <w:t xml:space="preserve">• </w:t>
      </w:r>
      <w:r>
        <w:rPr>
          <w:rFonts w:ascii="Aptos" w:hAnsi="Aptos"/>
          <w:b w:val="0"/>
          <w:i w:val="0"/>
          <w:color w:val="1E2832"/>
          <w:sz w:val="20"/>
        </w:rPr>
        <w:t>A dynamic state model adds no material held-out decision value beyond baseline renal/electrolyte risk.</w:t>
      </w:r>
    </w:p>
    <w:p>
      <w:pPr>
        <w:pStyle w:val="Body"/>
        <w:ind w:left="317" w:hanging="187"/>
      </w:pPr>
      <w:r>
        <w:rPr>
          <w:rFonts w:ascii="Aptos" w:hAnsi="Aptos"/>
          <w:b/>
          <w:i w:val="0"/>
          <w:color w:val="0B7D86"/>
          <w:sz w:val="20"/>
        </w:rPr>
        <w:t xml:space="preserve">• </w:t>
      </w:r>
      <w:r>
        <w:rPr>
          <w:rFonts w:ascii="Aptos" w:hAnsi="Aptos"/>
          <w:b w:val="0"/>
          <w:i w:val="0"/>
          <w:color w:val="1E2832"/>
          <w:sz w:val="20"/>
        </w:rPr>
        <w:t>The putatively adaptive-compatible state contains an unacceptable rate of true reserve failure or misses too many true failures.</w:t>
      </w:r>
    </w:p>
    <w:p>
      <w:pPr>
        <w:pStyle w:val="Body"/>
        <w:ind w:left="317" w:hanging="187"/>
      </w:pPr>
      <w:r>
        <w:rPr>
          <w:rFonts w:ascii="Aptos" w:hAnsi="Aptos"/>
          <w:b/>
          <w:i w:val="0"/>
          <w:color w:val="0B7D86"/>
          <w:sz w:val="20"/>
        </w:rPr>
        <w:t xml:space="preserve">• </w:t>
      </w:r>
      <w:r>
        <w:rPr>
          <w:rFonts w:ascii="Aptos" w:hAnsi="Aptos"/>
          <w:b w:val="0"/>
          <w:i w:val="0"/>
          <w:color w:val="1E2832"/>
          <w:sz w:val="20"/>
        </w:rPr>
        <w:t>The classifier requires future information or post-rescue response to define the earlier state.</w:t>
      </w:r>
    </w:p>
    <w:p>
      <w:pPr>
        <w:pStyle w:val="Body"/>
        <w:ind w:left="317" w:hanging="187"/>
      </w:pPr>
      <w:r>
        <w:rPr>
          <w:rFonts w:ascii="Aptos" w:hAnsi="Aptos"/>
          <w:b/>
          <w:i w:val="0"/>
          <w:color w:val="0B7D86"/>
          <w:sz w:val="20"/>
        </w:rPr>
        <w:t xml:space="preserve">• </w:t>
      </w:r>
      <w:r>
        <w:rPr>
          <w:rFonts w:ascii="Aptos" w:hAnsi="Aptos"/>
          <w:b w:val="0"/>
          <w:i w:val="0"/>
          <w:color w:val="1E2832"/>
          <w:sz w:val="20"/>
        </w:rPr>
        <w:t>State-specific performance fails to transport across renal reserve, CKD stage, or relevant background therapy.</w:t>
      </w:r>
    </w:p>
    <w:p>
      <w:pPr>
        <w:pStyle w:val="Body"/>
        <w:ind w:left="317" w:hanging="187"/>
      </w:pPr>
      <w:r>
        <w:rPr>
          <w:rFonts w:ascii="Aptos" w:hAnsi="Aptos"/>
          <w:b/>
          <w:i w:val="0"/>
          <w:color w:val="0B7D86"/>
          <w:sz w:val="20"/>
        </w:rPr>
        <w:t xml:space="preserve">• </w:t>
      </w:r>
      <w:r>
        <w:rPr>
          <w:rFonts w:ascii="Aptos" w:hAnsi="Aptos"/>
          <w:b w:val="0"/>
          <w:i w:val="0"/>
          <w:color w:val="1E2832"/>
          <w:sz w:val="20"/>
        </w:rPr>
        <w:t>No reproducible state×rescue interaction exists in prospective or valid sequential data.</w:t>
      </w:r>
    </w:p>
    <w:p>
      <w:pPr>
        <w:pStyle w:val="Body"/>
        <w:ind w:left="317" w:hanging="187"/>
      </w:pPr>
      <w:r>
        <w:rPr>
          <w:rFonts w:ascii="Aptos" w:hAnsi="Aptos"/>
          <w:b/>
          <w:i w:val="0"/>
          <w:color w:val="0B7D86"/>
          <w:sz w:val="20"/>
        </w:rPr>
        <w:t xml:space="preserve">• </w:t>
      </w:r>
      <w:r>
        <w:rPr>
          <w:rFonts w:ascii="Aptos" w:hAnsi="Aptos"/>
          <w:b w:val="0"/>
          <w:i w:val="0"/>
          <w:color w:val="1E2832"/>
          <w:sz w:val="20"/>
        </w:rPr>
        <w:t>A rescue improves a local marker but worsens the prespecified net therapeutic state.</w:t>
      </w:r>
    </w:p>
    <w:p>
      <w:pPr>
        <w:pStyle w:val="Body"/>
        <w:ind w:left="317" w:hanging="187"/>
      </w:pPr>
      <w:r>
        <w:rPr>
          <w:rFonts w:ascii="Aptos" w:hAnsi="Aptos"/>
          <w:b/>
          <w:i w:val="0"/>
          <w:color w:val="0B7D86"/>
          <w:sz w:val="20"/>
        </w:rPr>
        <w:t xml:space="preserve">• </w:t>
      </w:r>
      <w:r>
        <w:rPr>
          <w:rFonts w:ascii="Aptos" w:hAnsi="Aptos"/>
          <w:b w:val="0"/>
          <w:i w:val="0"/>
          <w:color w:val="1E2832"/>
          <w:sz w:val="20"/>
        </w:rPr>
        <w:t>The complete adaptive policy fails to outperform a simpler comparator when whole-policy superiority is claimed.</w:t>
      </w:r>
    </w:p>
    <w:p>
      <w:pPr>
        <w:pStyle w:val="Heading1"/>
      </w:pPr>
      <w:r>
        <w:t>8. Limitations</w:t>
      </w:r>
    </w:p>
    <w:p>
      <w:pPr>
        <w:pStyle w:val="Body"/>
      </w:pPr>
      <w:r>
        <w:rPr>
          <w:rFonts w:ascii="Aptos" w:hAnsi="Aptos"/>
          <w:b w:val="0"/>
          <w:i w:val="0"/>
          <w:color w:val="1E2832"/>
          <w:sz w:val="20"/>
        </w:rPr>
        <w:t>No patient-level longitudinal lorundrostat dataset was available for this independent analysis. The proposed F0/F1P/F2/F? states are research constructs and are not validated clinical phenotypes. Explore-CKD provides exact-product randomized data but does not randomize rescue after an early 50-mg safety signal. The 2026 Launch-HTN CKD analysis and proteomic results are post-hoc/sponsor-presented evidence and therefore receive supportive rather than confirmatory authority. Cross-disease studies support management principles but cannot establish lorundrostat-specific mechanisms or effect sizes.</w:t>
      </w:r>
    </w:p>
    <w:p>
      <w:pPr>
        <w:pStyle w:val="Body"/>
      </w:pPr>
      <w:r>
        <w:rPr>
          <w:rFonts w:ascii="Aptos" w:hAnsi="Aptos"/>
          <w:b w:val="0"/>
          <w:i w:val="0"/>
          <w:color w:val="1E2832"/>
          <w:sz w:val="20"/>
        </w:rPr>
        <w:t>Internal synthetic stress tests were designed to interrogate logical failure modes and do not estimate clinical accuracy. Their detailed implementation, internal thresholds, rule identifiers, and proprietary governance logic are not disclosed in this public manuscript; they may be considered for confidential expert review. The proposed composite net-therapeutic-state estimand will also require clinical consensus on component definitions and safety boundaries before prospective execution.</w:t>
      </w:r>
    </w:p>
    <w:p>
      <w:pPr>
        <w:pStyle w:val="Heading1"/>
      </w:pPr>
      <w:r>
        <w:t>9. Conclusion</w:t>
      </w:r>
    </w:p>
    <w:p>
      <w:pPr>
        <w:pStyle w:val="Body"/>
      </w:pPr>
      <w:r>
        <w:rPr>
          <w:rFonts w:ascii="Aptos" w:hAnsi="Aptos"/>
          <w:b w:val="0"/>
          <w:i w:val="0"/>
          <w:color w:val="1E2832"/>
          <w:sz w:val="20"/>
        </w:rPr>
        <w:t>Lorundrostat has established meaningful antihypertensive activity, while renal/electrolyte reserve, long-duration safety, and real-world monitorability remain the dominant open development questions. Current evidence does not justify treating every early eGFR decline as toxicity, treating every decline as benign adaptation, automatically escalating to 100 mg, or promoting a potassium-management companion as a validated rescue.</w:t>
      </w:r>
    </w:p>
    <w:p>
      <w:pPr>
        <w:pStyle w:val="Body"/>
      </w:pPr>
      <w:r>
        <w:rPr>
          <w:rFonts w:ascii="Aptos" w:hAnsi="Aptos"/>
          <w:b w:val="0"/>
          <w:i w:val="0"/>
          <w:color w:val="1E2832"/>
          <w:sz w:val="20"/>
        </w:rPr>
        <w:t>The evidence does justify a more disciplined solution: use fixed 50 mg as the population-level development anchor; deconvolve creatinine from orthogonal filtration; classify decision-time renal/electrolyte state with an explicit abstention option; and, among participants who retain blood-pressure benefit but develop an ethically randomizable safety signal, compare rescue actions within that state. Lower exposure at 25 mg and potassium-directed management are the leading candidates for such testing, but neither has patient-level rescue authority today.</w:t>
      </w:r>
    </w:p>
    <w:p>
      <w:pPr>
        <w:pStyle w:val="Body"/>
      </w:pPr>
      <w:r>
        <w:rPr>
          <w:rFonts w:ascii="Aptos" w:hAnsi="Aptos"/>
          <w:b w:val="0"/>
          <w:i w:val="0"/>
          <w:color w:val="1E2832"/>
          <w:sz w:val="20"/>
        </w:rPr>
        <w:t>The decisive empirical question is therefore no longer whether lorundrostat lowers blood pressure. It is whether pre-action measurements can identify who can safely preserve more antihypertensive benefit through a specific rescue strategy than through conventional management. If that state×rescue interaction cannot be demonstrated and transported, the appropriate outcome is simplification, not forced personalization.</w:t>
      </w:r>
    </w:p>
    <w:p>
      <w:pPr>
        <w:pStyle w:val="Heading1"/>
      </w:pPr>
      <w:r>
        <w:t>10. Declarations</w:t>
      </w:r>
    </w:p>
    <w:p>
      <w:pPr>
        <w:pStyle w:val="Heading2"/>
      </w:pPr>
      <w:r>
        <w:t>Author contribution</w:t>
      </w:r>
    </w:p>
    <w:p>
      <w:pPr>
        <w:pStyle w:val="Body"/>
      </w:pPr>
      <w:r>
        <w:rPr>
          <w:rFonts w:ascii="Aptos" w:hAnsi="Aptos"/>
          <w:b w:val="0"/>
          <w:i w:val="0"/>
          <w:color w:val="1E2832"/>
          <w:sz w:val="20"/>
        </w:rPr>
        <w:t>Bouchelit Mohammed El Amin conceived and developed the HISTAMOS research framework, directed the evidence-governed analysis, defined the competing decision models and falsification boundaries, interpreted the rescue adjudication, and prepared the manuscript with AI-assisted research, analysis, drafting, and editing.</w:t>
      </w:r>
    </w:p>
    <w:p>
      <w:pPr>
        <w:pStyle w:val="Heading2"/>
      </w:pPr>
      <w:r>
        <w:t>Use of artificial intelligence</w:t>
      </w:r>
    </w:p>
    <w:p>
      <w:pPr>
        <w:pStyle w:val="Body"/>
      </w:pPr>
      <w:r>
        <w:rPr>
          <w:rFonts w:ascii="Aptos" w:hAnsi="Aptos"/>
          <w:b w:val="0"/>
          <w:i w:val="0"/>
          <w:color w:val="1E2832"/>
          <w:sz w:val="20"/>
        </w:rPr>
        <w:t>Generative artificial-intelligence systems were used as tools for literature-discovery support, evidence organization, hypothesis generation, adversarial model comparison, methodological stress testing, and language drafting. The author directed the analyses, selected the claims, imposed evidence-governance boundaries, and accepts responsibility for the manuscript. AI output was not treated as scientific evidence.</w:t>
      </w:r>
    </w:p>
    <w:p>
      <w:pPr>
        <w:pStyle w:val="Heading2"/>
      </w:pPr>
      <w:r>
        <w:t>Funding</w:t>
      </w:r>
    </w:p>
    <w:p>
      <w:pPr>
        <w:pStyle w:val="Body"/>
      </w:pPr>
      <w:r>
        <w:rPr>
          <w:rFonts w:ascii="Aptos" w:hAnsi="Aptos"/>
          <w:b w:val="0"/>
          <w:i w:val="0"/>
          <w:color w:val="1E2832"/>
          <w:sz w:val="20"/>
        </w:rPr>
        <w:t>Independent research. No external sponsor is claimed in this manuscript. Any funding relationship relevant to formal journal submission should be declared at submission.</w:t>
      </w:r>
    </w:p>
    <w:p>
      <w:pPr>
        <w:pStyle w:val="Heading2"/>
      </w:pPr>
      <w:r>
        <w:t>Competing interests</w:t>
      </w:r>
    </w:p>
    <w:p>
      <w:pPr>
        <w:pStyle w:val="Body"/>
      </w:pPr>
      <w:r>
        <w:rPr>
          <w:rFonts w:ascii="Aptos" w:hAnsi="Aptos"/>
          <w:b w:val="0"/>
          <w:i w:val="0"/>
          <w:color w:val="1E2832"/>
          <w:sz w:val="20"/>
        </w:rPr>
        <w:t>The author is Founder &amp; Scientific Lead of HISTAMOS and may benefit reputationally or commercially from recognition or future development of the framework. This manuscript does not claim sponsorship, participation, endorsement, or collaboration by Mineralys Therapeutics, the investigators of the cited trials, or regulatory authorities.</w:t>
      </w:r>
    </w:p>
    <w:p>
      <w:pPr>
        <w:pStyle w:val="Heading2"/>
      </w:pPr>
      <w:r>
        <w:t>Ethics</w:t>
      </w:r>
    </w:p>
    <w:p>
      <w:pPr>
        <w:pStyle w:val="Body"/>
      </w:pPr>
      <w:r>
        <w:rPr>
          <w:rFonts w:ascii="Aptos" w:hAnsi="Aptos"/>
          <w:b w:val="0"/>
          <w:i w:val="0"/>
          <w:color w:val="1E2832"/>
          <w:sz w:val="20"/>
        </w:rPr>
        <w:t>No new human participants, identifiable personal data, animals, or biological specimens were used in this independent analysis. No clinical intervention was conducted by the author.</w:t>
      </w:r>
    </w:p>
    <w:p>
      <w:pPr>
        <w:pStyle w:val="Heading2"/>
      </w:pPr>
      <w:r>
        <w:t>Data and materials availability</w:t>
      </w:r>
    </w:p>
    <w:p>
      <w:pPr>
        <w:pStyle w:val="Body"/>
      </w:pPr>
      <w:r>
        <w:rPr>
          <w:rFonts w:ascii="Aptos" w:hAnsi="Aptos"/>
          <w:b w:val="0"/>
          <w:i w:val="0"/>
          <w:color w:val="1E2832"/>
          <w:sz w:val="20"/>
        </w:rPr>
        <w:t>The human evidence cited in this manuscript is publicly available through the referenced publications, regulatory records, trial registries, and corporate filings. No private patient-level lorundrostat data were used. Detailed internal HISTAMOS implementation, proprietary thresholds, rule identifiers, and simulation construction are not part of the public dataset and may be considered for confidential expert review.</w:t>
      </w:r>
    </w:p>
    <w:p>
      <w:pPr>
        <w:pStyle w:val="Heading2"/>
      </w:pPr>
      <w:r>
        <w:t>Correspondence</w:t>
      </w:r>
    </w:p>
    <w:p>
      <w:pPr>
        <w:pStyle w:val="Body"/>
      </w:pPr>
      <w:r>
        <w:rPr>
          <w:rFonts w:ascii="Aptos" w:hAnsi="Aptos"/>
          <w:b w:val="0"/>
          <w:i w:val="0"/>
          <w:color w:val="1E2832"/>
          <w:sz w:val="20"/>
        </w:rPr>
        <w:t>Bouchelit Mohammed El Amin</w:t>
        <w:br/>
        <w:t>Founder &amp; Scientific Lead, HISTAMOS</w:t>
        <w:br/>
        <w:t>Germany</w:t>
        <w:br/>
        <w:t>Email: contact@histamos.com</w:t>
        <w:br/>
        <w:t>Website: www.histamos.com</w:t>
      </w:r>
    </w:p>
    <w:p>
      <w:pPr>
        <w:pStyle w:val="Heading1"/>
      </w:pPr>
      <w:r>
        <w:t>References</w:t>
      </w:r>
    </w:p>
    <w:p>
      <w:pPr>
        <w:pStyle w:val="Body"/>
        <w:ind w:left="288" w:hanging="288"/>
      </w:pPr>
      <w:r>
        <w:rPr>
          <w:rFonts w:ascii="Aptos" w:hAnsi="Aptos"/>
          <w:b w:val="0"/>
          <w:i w:val="0"/>
          <w:color w:val="66727D"/>
          <w:sz w:val="16"/>
        </w:rPr>
        <w:t>1. Laffin LJ, Rodman D, Luther JM, et al; Target-HTN Investigators. Aldosterone Synthase Inhibition With Lorundrostat for Uncontrolled Hypertension: The Target-HTN Randomized Clinical Trial. JAMA. 2023;330(12):1140-1150. doi:10.1001/jama.2023.16029.</w:t>
      </w:r>
    </w:p>
    <w:p>
      <w:pPr>
        <w:pStyle w:val="Body"/>
        <w:ind w:left="288" w:hanging="288"/>
      </w:pPr>
      <w:r>
        <w:rPr>
          <w:rFonts w:ascii="Aptos" w:hAnsi="Aptos"/>
          <w:b w:val="0"/>
          <w:i w:val="0"/>
          <w:color w:val="66727D"/>
          <w:sz w:val="16"/>
        </w:rPr>
        <w:t>2. Laffin LJ, Kopjar B, Melgaard C, et al; Advance-HTN Investigators. Lorundrostat Efficacy and Safety in Patients with Uncontrolled Hypertension. N Engl J Med. 2025;392(18):1813-1823. doi:10.1056/NEJMoa2501440.</w:t>
      </w:r>
    </w:p>
    <w:p>
      <w:pPr>
        <w:pStyle w:val="Body"/>
        <w:ind w:left="288" w:hanging="288"/>
      </w:pPr>
      <w:r>
        <w:rPr>
          <w:rFonts w:ascii="Aptos" w:hAnsi="Aptos"/>
          <w:b w:val="0"/>
          <w:i w:val="0"/>
          <w:color w:val="66727D"/>
          <w:sz w:val="16"/>
        </w:rPr>
        <w:t>3. Saxena M, Laffin L, Borghi C, et al; Launch-HTN Investigators. Lorundrostat in Participants With Uncontrolled Hypertension and Treatment-Resistant Hypertension: The Launch-HTN Randomized Clinical Trial. JAMA. 2025;334(5):409-418. doi:10.1001/jama.2025.9413.</w:t>
      </w:r>
    </w:p>
    <w:p>
      <w:pPr>
        <w:pStyle w:val="Body"/>
        <w:ind w:left="288" w:hanging="288"/>
      </w:pPr>
      <w:r>
        <w:rPr>
          <w:rFonts w:ascii="Aptos" w:hAnsi="Aptos"/>
          <w:b w:val="0"/>
          <w:i w:val="0"/>
          <w:color w:val="66727D"/>
          <w:sz w:val="16"/>
        </w:rPr>
        <w:t>4. Mineralys Therapeutics, Inc. Current Report on Form 8-K and Exhibit 99.1: FDA Acceptance of NDA for Lorundrostat; PDUFA target action date December 22, 2026. U.S. Securities and Exchange Commission. March 9, 2026.</w:t>
      </w:r>
    </w:p>
    <w:p>
      <w:pPr>
        <w:pStyle w:val="Body"/>
        <w:ind w:left="288" w:hanging="288"/>
      </w:pPr>
      <w:r>
        <w:rPr>
          <w:rFonts w:ascii="Aptos" w:hAnsi="Aptos"/>
          <w:b w:val="0"/>
          <w:i w:val="0"/>
          <w:color w:val="66727D"/>
          <w:sz w:val="16"/>
        </w:rPr>
        <w:t>5. Mineralys Therapeutics, Inc. Annual Report on Form 10-K for the year ended December 31, 2025. U.S. Securities and Exchange Commission. Filed 2026. Pivotal program clinical trial results.</w:t>
      </w:r>
    </w:p>
    <w:p>
      <w:pPr>
        <w:pStyle w:val="Body"/>
        <w:ind w:left="288" w:hanging="288"/>
      </w:pPr>
      <w:r>
        <w:rPr>
          <w:rFonts w:ascii="Aptos" w:hAnsi="Aptos"/>
          <w:b w:val="0"/>
          <w:i w:val="0"/>
          <w:color w:val="66727D"/>
          <w:sz w:val="16"/>
        </w:rPr>
        <w:t>6. ClinicalTrials.gov. NCT06150924. Efficacy and Safety of Lorundrostat in Addition to SGLT2 Inhibitors in Subjects With Hypertension and Chronic Kidney Disease With Albuminuria. Results posted June 3, 2026.</w:t>
      </w:r>
    </w:p>
    <w:p>
      <w:pPr>
        <w:pStyle w:val="Body"/>
        <w:ind w:left="288" w:hanging="288"/>
      </w:pPr>
      <w:r>
        <w:rPr>
          <w:rFonts w:ascii="Aptos" w:hAnsi="Aptos"/>
          <w:b w:val="0"/>
          <w:i w:val="0"/>
          <w:color w:val="66727D"/>
          <w:sz w:val="16"/>
        </w:rPr>
        <w:t>7. Mineralys Therapeutics, Inc. Annual Report on Form 10-K for the year ended December 31, 2025. Explore-CKD Clinical Trial Results.</w:t>
      </w:r>
    </w:p>
    <w:p>
      <w:pPr>
        <w:pStyle w:val="Body"/>
        <w:ind w:left="288" w:hanging="288"/>
      </w:pPr>
      <w:r>
        <w:rPr>
          <w:rFonts w:ascii="Aptos" w:hAnsi="Aptos"/>
          <w:b w:val="0"/>
          <w:i w:val="0"/>
          <w:color w:val="66727D"/>
          <w:sz w:val="16"/>
        </w:rPr>
        <w:t>8. Mineralys Therapeutics, Inc. Phase 3 Launch-HTN CKD post-hoc analysis presented at the European Meeting on Hypertension and Cardiovascular Protection (ESH 2026). May 30, 2026.</w:t>
      </w:r>
    </w:p>
    <w:p>
      <w:pPr>
        <w:pStyle w:val="Body"/>
        <w:ind w:left="288" w:hanging="288"/>
      </w:pPr>
      <w:r>
        <w:rPr>
          <w:rFonts w:ascii="Aptos" w:hAnsi="Aptos"/>
          <w:b w:val="0"/>
          <w:i w:val="0"/>
          <w:color w:val="66727D"/>
          <w:sz w:val="16"/>
        </w:rPr>
        <w:t>9. ClinicalTrials.gov. NCT05968430. Open-Label Extension Study to Assess Long-Term Safety, Efficacy, and Tolerability of Lorundrostat in Subjects With Hypertension (Transform-HTN). Updated July 17, 2026. No results posted as of August 17, 2026.</w:t>
      </w:r>
    </w:p>
    <w:p>
      <w:pPr>
        <w:pStyle w:val="Body"/>
        <w:ind w:left="288" w:hanging="288"/>
      </w:pPr>
      <w:r>
        <w:rPr>
          <w:rFonts w:ascii="Aptos" w:hAnsi="Aptos"/>
          <w:b w:val="0"/>
          <w:i w:val="0"/>
          <w:color w:val="66727D"/>
          <w:sz w:val="16"/>
        </w:rPr>
        <w:t>10. Agarwal R, Rossignol P, Romero A, Garza D, Mayo MR, Warren S, Ma J, White WB, Williams B. Patiromer versus placebo to enable spironolactone use in patients with resistant hypertension and chronic kidney disease (AMBER): a phase 2, randomised, double-blind, placebo-controlled trial. Lancet. 2019;394(10208):1540-1550. doi:10.1016/S0140-6736(19)32135-X. PMID:31533906.</w:t>
      </w:r>
    </w:p>
    <w:p>
      <w:pPr>
        <w:pStyle w:val="Body"/>
        <w:ind w:left="288" w:hanging="288"/>
      </w:pPr>
      <w:r>
        <w:rPr>
          <w:rFonts w:ascii="Aptos" w:hAnsi="Aptos"/>
          <w:b w:val="0"/>
          <w:i w:val="0"/>
          <w:color w:val="66727D"/>
          <w:sz w:val="16"/>
        </w:rPr>
        <w:t>11. Agarwal R, Joseph A, Anker SD, et al; FIDELIO-DKD Investigators. Hyperkalemia Risk with Finerenone: Results from the FIDELIO-DKD Trial. J Am Soc Nephrol. 2022;33(1):225-237. doi:10.1681/ASN.2021070942.</w:t>
      </w:r>
    </w:p>
    <w:p>
      <w:pPr>
        <w:pStyle w:val="Body"/>
        <w:ind w:left="288" w:hanging="288"/>
      </w:pPr>
      <w:r>
        <w:rPr>
          <w:rFonts w:ascii="Aptos" w:hAnsi="Aptos"/>
          <w:b w:val="0"/>
          <w:i w:val="0"/>
          <w:color w:val="66727D"/>
          <w:sz w:val="16"/>
        </w:rPr>
        <w:t>12. Heerspink HJL, Jongs N, Chertow GM, et al; DAPA-CKD Trial Committees and Investigators. Effect of dapagliflozin on the rate of decline in kidney function in patients with chronic kidney disease with and without type 2 diabetes: a prespecified analysis from DAPA-CKD. Lancet Diabetes Endocrinol. 2021;9(11):743-754. doi:10.1016/S2213-8587(21)00242-4.</w:t>
      </w:r>
    </w:p>
    <w:p>
      <w:pPr>
        <w:pStyle w:val="Body"/>
        <w:ind w:left="288" w:hanging="288"/>
      </w:pPr>
      <w:r>
        <w:rPr>
          <w:rFonts w:ascii="Aptos" w:hAnsi="Aptos"/>
          <w:b w:val="0"/>
          <w:i w:val="0"/>
          <w:color w:val="66727D"/>
          <w:sz w:val="16"/>
        </w:rPr>
        <w:t>13. Matsumoto S, Jhund PS, Henderson AD, et al. Initial Decline in Glomerular Filtration Rate With Finerenone in HFmrEF/HFpEF: A Prespecified Analysis of FINEARTS-HF. J Am Coll Cardiol. 2025;85(2):173-185. doi:10.1016/j.jacc.2024.11.020.</w:t>
      </w:r>
    </w:p>
    <w:p>
      <w:pPr>
        <w:pStyle w:val="Body"/>
        <w:ind w:left="288" w:hanging="288"/>
      </w:pPr>
      <w:r>
        <w:rPr>
          <w:rFonts w:ascii="Aptos" w:hAnsi="Aptos"/>
          <w:b w:val="0"/>
          <w:i w:val="0"/>
          <w:color w:val="66727D"/>
          <w:sz w:val="16"/>
        </w:rPr>
        <w:t>14. U.S. Food and Drug Administration. Novel Drug Approvals for 2026: Baxfendy (baxdrostat), approved May 15, 2026, for hypertension in combination with other antihypertensive drugs.</w:t>
      </w:r>
    </w:p>
    <w:p>
      <w:pPr>
        <w:spacing w:before="200"/>
        <w:jc w:val="center"/>
      </w:pPr>
      <w:r>
        <w:rPr>
          <w:rFonts w:ascii="Aptos" w:hAnsi="Aptos"/>
          <w:b/>
          <w:i w:val="0"/>
          <w:color w:val="142A3E"/>
          <w:sz w:val="18"/>
        </w:rPr>
        <w:t>HISTAMOS | Scientific Decision Intelligence</w:t>
      </w:r>
      <w:r>
        <w:rPr>
          <w:rFonts w:ascii="Aptos" w:hAnsi="Aptos"/>
          <w:b/>
          <w:i w:val="0"/>
          <w:color w:val="0B7D86"/>
          <w:sz w:val="16"/>
        </w:rPr>
        <w:br/>
        <w:t>www.histamos.com | contact@histamos.com</w:t>
      </w:r>
      <w:r>
        <w:rPr>
          <w:rFonts w:ascii="Aptos" w:hAnsi="Aptos"/>
          <w:b w:val="0"/>
          <w:i w:val="0"/>
          <w:color w:val="66727D"/>
          <w:sz w:val="15"/>
        </w:rPr>
        <w:br/>
        <w:t>Research use only. No diagnosis or treatment recommendation.</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b w:val="0"/>
        <w:i w:val="0"/>
        <w:color w:val="66727D"/>
        <w:sz w:val="15"/>
      </w:rPr>
      <w:t>Independent research manuscript | 17 August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rFonts w:ascii="Aptos" w:hAnsi="Aptos"/>
        <w:b/>
        <w:i w:val="0"/>
        <w:color w:val="66727D"/>
        <w:sz w:val="16"/>
      </w:rPr>
      <w:t>H  HISTAMOS  |  Lorundrostat renal-electrolyte rescue framework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2"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142A3E"/>
      <w:sz w:val="35"/>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ascii="Aptos" w:hAnsi="Aptos"/>
      <w:b/>
      <w:bCs/>
      <w:color w:val="0B7D8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
    <w:name w:val="Body"/>
    <w:pPr>
      <w:spacing w:after="84" w:line="254" w:lineRule="auto"/>
    </w:pPr>
    <w:rPr>
      <w:rFonts w:ascii="Aptos" w:hAnsi="Aptos"/>
      <w:color w:val="1E2832"/>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Preserving Antihypertensive Benefit While Managing Renal–Electrolyte Liability During Lorundrostat Therapy</dc:title>
  <dc:subject>HISTAMOS final lorundrostat research manuscript</dc:subject>
  <dc:creator>Bouchelit Mohammed El Amin | HISTAMOS</dc:creator>
  <cp:keywords>lorundrostat, hypertension, aldosterone synthase inhibitor, renal reserve, hyperkalemia, rescue, causal trial design, HISTAMOS</cp:keywords>
  <dc:description>Publication-safe scientific manuscript. Proprietary HISTAMOS rule identifiers, thresholds, and implementation details intentionally withheld.</dc:description>
  <cp:lastModifiedBy/>
  <cp:revision>1</cp:revision>
  <dcterms:created xsi:type="dcterms:W3CDTF">2013-12-23T23:15:00Z</dcterms:created>
  <dcterms:modified xsi:type="dcterms:W3CDTF">2013-12-23T23:15:00Z</dcterms:modified>
  <cp:category/>
</cp:coreProperties>
</file>