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Eyebrow"/>
      </w:pPr>
      <w:r>
        <w:t>HISTAMOS  /  PROOF OF WORK  /  ONCOLOGY &amp; PRECISION MEDICINE</w:t>
      </w:r>
    </w:p>
    <w:p>
      <w:pPr>
        <w:pStyle w:val="Title"/>
      </w:pPr>
      <w:r>
        <w:t>Treatment-Response–Informed Precision Medicine</w:t>
      </w:r>
    </w:p>
    <w:p>
      <w:pPr>
        <w:spacing w:after="240"/>
      </w:pPr>
      <w:r>
        <w:rPr>
          <w:rFonts w:ascii="Aptos" w:hAnsi="Aptos"/>
          <w:b/>
          <w:color w:val="464646"/>
          <w:sz w:val="26"/>
        </w:rPr>
        <w:t>Human Evidence, Scientific Boundary, Validation Gap and Economic Opportunity</w:t>
      </w:r>
    </w:p>
    <w:tbl>
      <w:tblPr>
        <w:tblW w:type="auto" w:w="0"/>
        <w:jc w:val="left"/>
        <w:tblLayout w:type="fixed"/>
        <w:tblLook w:firstColumn="1" w:firstRow="1" w:lastColumn="0" w:lastRow="0" w:noHBand="0" w:noVBand="1" w:val="04A0"/>
      </w:tblPr>
      <w:tblGrid>
        <w:gridCol w:w="1656"/>
        <w:gridCol w:w="7992"/>
      </w:tblGrid>
      <w:tr>
        <w:tc>
          <w:tcPr>
            <w:tcW w:type="dxa" w:w="5083"/>
            <w:tcBorders>
              <w:top w:val="nil"/>
              <w:left w:val="nil"/>
              <w:bottom w:val="nil"/>
              <w:right w:val="nil"/>
            </w:tcBorders>
          </w:tcPr>
          <w:p>
            <w:r>
              <w:rPr>
                <w:rFonts w:ascii="Aptos" w:hAnsi="Aptos"/>
                <w:b/>
                <w:color w:val="646464"/>
                <w:sz w:val="15"/>
              </w:rPr>
              <w:t>PREPARED BY</w:t>
            </w:r>
          </w:p>
        </w:tc>
        <w:tc>
          <w:tcPr>
            <w:tcW w:type="dxa" w:w="5083"/>
            <w:tcBorders>
              <w:top w:val="nil"/>
              <w:left w:val="nil"/>
              <w:bottom w:val="nil"/>
              <w:right w:val="nil"/>
            </w:tcBorders>
          </w:tcPr>
          <w:p>
            <w:r>
              <w:rPr>
                <w:rFonts w:ascii="Aptos" w:hAnsi="Aptos"/>
                <w:b/>
                <w:color w:val="232323"/>
                <w:sz w:val="18"/>
              </w:rPr>
              <w:t>Bouchelit Mohammed El Amin</w:t>
            </w:r>
          </w:p>
        </w:tc>
      </w:tr>
      <w:tr>
        <w:tc>
          <w:tcPr>
            <w:tcW w:type="dxa" w:w="5083"/>
            <w:tcBorders>
              <w:top w:val="nil"/>
              <w:left w:val="nil"/>
              <w:bottom w:val="nil"/>
              <w:right w:val="nil"/>
            </w:tcBorders>
          </w:tcPr>
          <w:p>
            <w:r>
              <w:rPr>
                <w:rFonts w:ascii="Aptos" w:hAnsi="Aptos"/>
                <w:b/>
                <w:color w:val="646464"/>
                <w:sz w:val="15"/>
              </w:rPr>
              <w:t>ROLE</w:t>
            </w:r>
          </w:p>
        </w:tc>
        <w:tc>
          <w:tcPr>
            <w:tcW w:type="dxa" w:w="5083"/>
            <w:tcBorders>
              <w:top w:val="nil"/>
              <w:left w:val="nil"/>
              <w:bottom w:val="nil"/>
              <w:right w:val="nil"/>
            </w:tcBorders>
          </w:tcPr>
          <w:p>
            <w:r>
              <w:rPr>
                <w:rFonts w:ascii="Aptos" w:hAnsi="Aptos"/>
                <w:b w:val="0"/>
                <w:color w:val="232323"/>
                <w:sz w:val="18"/>
              </w:rPr>
              <w:t>Founder &amp; Scientific Lead, HISTAMOS</w:t>
            </w:r>
          </w:p>
        </w:tc>
      </w:tr>
      <w:tr>
        <w:tc>
          <w:tcPr>
            <w:tcW w:type="dxa" w:w="5083"/>
            <w:tcBorders>
              <w:top w:val="nil"/>
              <w:left w:val="nil"/>
              <w:bottom w:val="nil"/>
              <w:right w:val="nil"/>
            </w:tcBorders>
          </w:tcPr>
          <w:p>
            <w:r>
              <w:rPr>
                <w:rFonts w:ascii="Aptos" w:hAnsi="Aptos"/>
                <w:b/>
                <w:color w:val="646464"/>
                <w:sz w:val="15"/>
              </w:rPr>
              <w:t>LOCATION</w:t>
            </w:r>
          </w:p>
        </w:tc>
        <w:tc>
          <w:tcPr>
            <w:tcW w:type="dxa" w:w="5083"/>
            <w:tcBorders>
              <w:top w:val="nil"/>
              <w:left w:val="nil"/>
              <w:bottom w:val="nil"/>
              <w:right w:val="nil"/>
            </w:tcBorders>
          </w:tcPr>
          <w:p>
            <w:r>
              <w:rPr>
                <w:rFonts w:ascii="Aptos" w:hAnsi="Aptos"/>
                <w:b w:val="0"/>
                <w:color w:val="232323"/>
                <w:sz w:val="18"/>
              </w:rPr>
              <w:t>Germany / Independent Research Program</w:t>
            </w:r>
          </w:p>
        </w:tc>
      </w:tr>
      <w:tr>
        <w:tc>
          <w:tcPr>
            <w:tcW w:type="dxa" w:w="5083"/>
            <w:tcBorders>
              <w:top w:val="nil"/>
              <w:left w:val="nil"/>
              <w:bottom w:val="nil"/>
              <w:right w:val="nil"/>
            </w:tcBorders>
          </w:tcPr>
          <w:p>
            <w:r>
              <w:rPr>
                <w:rFonts w:ascii="Aptos" w:hAnsi="Aptos"/>
                <w:b/>
                <w:color w:val="646464"/>
                <w:sz w:val="15"/>
              </w:rPr>
              <w:t>CONTACT</w:t>
            </w:r>
          </w:p>
        </w:tc>
        <w:tc>
          <w:tcPr>
            <w:tcW w:type="dxa" w:w="5083"/>
            <w:tcBorders>
              <w:top w:val="nil"/>
              <w:left w:val="nil"/>
              <w:bottom w:val="nil"/>
              <w:right w:val="nil"/>
            </w:tcBorders>
          </w:tcPr>
          <w:p>
            <w:r>
              <w:rPr>
                <w:rFonts w:ascii="Aptos" w:hAnsi="Aptos"/>
                <w:b w:val="0"/>
                <w:color w:val="232323"/>
                <w:sz w:val="18"/>
              </w:rPr>
              <w:t>www.histamos.com  |  contact@histamos.com</w:t>
            </w:r>
          </w:p>
        </w:tc>
      </w:tr>
    </w:tbl>
    <w:p>
      <w:pPr>
        <w:spacing w:after="40"/>
      </w:pPr>
    </w:p>
    <w:p>
      <w:pPr>
        <w:pStyle w:val="Callout"/>
      </w:pPr>
      <w:r>
        <w:t>Public claim: treatment response can contain clinically relevant information that is not fully available before treatment. Whether that information can reliably select the next treatment remains unvalidated.</w:t>
      </w:r>
    </w:p>
    <w:p>
      <w:pPr>
        <w:spacing w:after="200"/>
      </w:pPr>
      <w:r>
        <w:rPr>
          <w:rFonts w:ascii="Aptos" w:hAnsi="Aptos"/>
          <w:color w:val="414141"/>
          <w:sz w:val="18"/>
        </w:rPr>
        <w:t>This document is a public proof of scientific work, not a clinical decision tool. It intentionally omits proprietary discovery methods, internal rules, model construction, thresholds, and implementation details.</w:t>
      </w:r>
    </w:p>
    <w:p>
      <w:pPr>
        <w:pStyle w:val="Heading2"/>
      </w:pPr>
      <w:r>
        <w:t>CURRENT EVIDENCE STATUS</w:t>
      </w:r>
    </w:p>
    <w:tbl>
      <w:tblPr>
        <w:tblW w:type="auto" w:w="0"/>
        <w:jc w:val="center"/>
        <w:tblLayout w:type="fixed"/>
        <w:tblLook w:firstColumn="1" w:firstRow="1" w:lastColumn="0" w:lastRow="0" w:noHBand="0" w:noVBand="1" w:val="04A0"/>
      </w:tblPr>
      <w:tblGrid>
        <w:gridCol w:w="3024"/>
        <w:gridCol w:w="6480"/>
      </w:tblGrid>
      <w:tr>
        <w:tc>
          <w:tcPr>
            <w:tcW w:type="dxa" w:w="5083"/>
            <w:vAlign w:val="center"/>
            <w:tcBorders>
              <w:top w:val="single" w:sz="6" w:color="D9E2F3"/>
              <w:left w:val="single" w:sz="6" w:color="D9E2F3"/>
              <w:bottom w:val="single" w:sz="6" w:color="D9E2F3"/>
              <w:right w:val="single" w:sz="6" w:color="D9E2F3"/>
            </w:tcBorders>
            <w:shd w:fill="EAF4EA"/>
          </w:tcPr>
          <w:p>
            <w:pPr>
              <w:jc w:val="left"/>
            </w:pPr>
            <w:r>
              <w:rPr>
                <w:rFonts w:ascii="Aptos" w:hAnsi="Aptos"/>
                <w:b/>
                <w:color w:val="2C3E50"/>
                <w:sz w:val="16"/>
              </w:rPr>
              <w:t>RESPONSE INFORMATION</w:t>
            </w:r>
          </w:p>
        </w:tc>
        <w:tc>
          <w:tcPr>
            <w:tcW w:type="dxa" w:w="5083"/>
            <w:vAlign w:val="center"/>
            <w:tcBorders>
              <w:top w:val="single" w:sz="6" w:color="D9E2F3"/>
              <w:left w:val="single" w:sz="6" w:color="D9E2F3"/>
              <w:bottom w:val="single" w:sz="6" w:color="D9E2F3"/>
              <w:right w:val="single" w:sz="6" w:color="D9E2F3"/>
            </w:tcBorders>
            <w:shd w:fill="EAF4EA"/>
          </w:tcPr>
          <w:p>
            <w:r>
              <w:rPr>
                <w:rFonts w:ascii="Aptos" w:hAnsi="Aptos"/>
                <w:b/>
                <w:color w:val="124866"/>
                <w:sz w:val="19"/>
              </w:rPr>
              <w:t>SUPPORTED — BOUNDED</w:t>
            </w:r>
            <w:r>
              <w:rPr>
                <w:rFonts w:ascii="Aptos" w:hAnsi="Aptos"/>
                <w:color w:val="555555"/>
                <w:sz w:val="17"/>
              </w:rPr>
              <w:br/>
              <w:t>Human evidence supports the narrower claim that response after treatment can add information about later patient state.</w:t>
            </w:r>
          </w:p>
        </w:tc>
      </w:tr>
    </w:tbl>
    <w:p>
      <w:pPr>
        <w:spacing w:after="20"/>
      </w:pPr>
    </w:p>
    <w:tbl>
      <w:tblPr>
        <w:tblW w:type="auto" w:w="0"/>
        <w:jc w:val="center"/>
        <w:tblLayout w:type="fixed"/>
        <w:tblLook w:firstColumn="1" w:firstRow="1" w:lastColumn="0" w:lastRow="0" w:noHBand="0" w:noVBand="1" w:val="04A0"/>
      </w:tblPr>
      <w:tblGrid>
        <w:gridCol w:w="3024"/>
        <w:gridCol w:w="6480"/>
      </w:tblGrid>
      <w:tr>
        <w:tc>
          <w:tcPr>
            <w:tcW w:type="dxa" w:w="5083"/>
            <w:vAlign w:val="center"/>
            <w:tcBorders>
              <w:top w:val="single" w:sz="6" w:color="D9E2F3"/>
              <w:left w:val="single" w:sz="6" w:color="D9E2F3"/>
              <w:bottom w:val="single" w:sz="6" w:color="D9E2F3"/>
              <w:right w:val="single" w:sz="6" w:color="D9E2F3"/>
            </w:tcBorders>
            <w:shd w:fill="FFF4E5"/>
          </w:tcPr>
          <w:p>
            <w:pPr>
              <w:jc w:val="left"/>
            </w:pPr>
            <w:r>
              <w:rPr>
                <w:rFonts w:ascii="Aptos" w:hAnsi="Aptos"/>
                <w:b/>
                <w:color w:val="2C3E50"/>
                <w:sz w:val="16"/>
              </w:rPr>
              <w:t>TREATMENT ALLOCATION</w:t>
            </w:r>
          </w:p>
        </w:tc>
        <w:tc>
          <w:tcPr>
            <w:tcW w:type="dxa" w:w="5083"/>
            <w:vAlign w:val="center"/>
            <w:tcBorders>
              <w:top w:val="single" w:sz="6" w:color="D9E2F3"/>
              <w:left w:val="single" w:sz="6" w:color="D9E2F3"/>
              <w:bottom w:val="single" w:sz="6" w:color="D9E2F3"/>
              <w:right w:val="single" w:sz="6" w:color="D9E2F3"/>
            </w:tcBorders>
            <w:shd w:fill="FFF4E5"/>
          </w:tcPr>
          <w:p>
            <w:r>
              <w:rPr>
                <w:rFonts w:ascii="Aptos" w:hAnsi="Aptos"/>
                <w:b/>
                <w:color w:val="124866"/>
                <w:sz w:val="19"/>
              </w:rPr>
              <w:t>NOT VALIDATED</w:t>
            </w:r>
            <w:r>
              <w:rPr>
                <w:rFonts w:ascii="Aptos" w:hAnsi="Aptos"/>
                <w:color w:val="555555"/>
                <w:sz w:val="17"/>
              </w:rPr>
              <w:br/>
              <w:t>No replicated evidence currently supports using response state alone to choose the next treatment better than the best simple policy.</w:t>
            </w:r>
          </w:p>
        </w:tc>
      </w:tr>
    </w:tbl>
    <w:p>
      <w:pPr>
        <w:spacing w:after="20"/>
      </w:pPr>
    </w:p>
    <w:tbl>
      <w:tblPr>
        <w:tblW w:type="auto" w:w="0"/>
        <w:jc w:val="center"/>
        <w:tblLayout w:type="fixed"/>
        <w:tblLook w:firstColumn="1" w:firstRow="1" w:lastColumn="0" w:lastRow="0" w:noHBand="0" w:noVBand="1" w:val="04A0"/>
      </w:tblPr>
      <w:tblGrid>
        <w:gridCol w:w="3024"/>
        <w:gridCol w:w="6480"/>
      </w:tblGrid>
      <w:tr>
        <w:tc>
          <w:tcPr>
            <w:tcW w:type="dxa" w:w="5083"/>
            <w:vAlign w:val="center"/>
            <w:tcBorders>
              <w:top w:val="single" w:sz="6" w:color="D9E2F3"/>
              <w:left w:val="single" w:sz="6" w:color="D9E2F3"/>
              <w:bottom w:val="single" w:sz="6" w:color="D9E2F3"/>
              <w:right w:val="single" w:sz="6" w:color="D9E2F3"/>
            </w:tcBorders>
            <w:shd w:fill="FDECEC"/>
          </w:tcPr>
          <w:p>
            <w:pPr>
              <w:jc w:val="left"/>
            </w:pPr>
            <w:r>
              <w:rPr>
                <w:rFonts w:ascii="Aptos" w:hAnsi="Aptos"/>
                <w:b/>
                <w:color w:val="2C3E50"/>
                <w:sz w:val="16"/>
              </w:rPr>
              <w:t>CLINICAL USE</w:t>
            </w:r>
          </w:p>
        </w:tc>
        <w:tc>
          <w:tcPr>
            <w:tcW w:type="dxa" w:w="5083"/>
            <w:vAlign w:val="center"/>
            <w:tcBorders>
              <w:top w:val="single" w:sz="6" w:color="D9E2F3"/>
              <w:left w:val="single" w:sz="6" w:color="D9E2F3"/>
              <w:bottom w:val="single" w:sz="6" w:color="D9E2F3"/>
              <w:right w:val="single" w:sz="6" w:color="D9E2F3"/>
            </w:tcBorders>
            <w:shd w:fill="FDECEC"/>
          </w:tcPr>
          <w:p>
            <w:r>
              <w:rPr>
                <w:rFonts w:ascii="Aptos" w:hAnsi="Aptos"/>
                <w:b/>
                <w:color w:val="124866"/>
                <w:sz w:val="19"/>
              </w:rPr>
              <w:t>NONE</w:t>
            </w:r>
            <w:r>
              <w:rPr>
                <w:rFonts w:ascii="Aptos" w:hAnsi="Aptos"/>
                <w:color w:val="555555"/>
                <w:sz w:val="17"/>
              </w:rPr>
              <w:br/>
              <w:t>Independent prospective clinical validation and appropriate institutional oversight are required.</w:t>
            </w:r>
          </w:p>
        </w:tc>
      </w:tr>
    </w:tbl>
    <w:p>
      <w:pPr>
        <w:spacing w:after="20"/>
      </w:pPr>
    </w:p>
    <w:p>
      <w:pPr>
        <w:pStyle w:val="SmallNote"/>
      </w:pPr>
      <w:r>
        <w:t>Scope: public-facing capability demonstration. No claim of regulatory approval, medical-device status, or validated patient-level treatment selection.</w:t>
      </w:r>
    </w:p>
    <w:p>
      <w:r>
        <w:br w:type="page"/>
      </w:r>
    </w:p>
    <w:p>
      <w:pPr>
        <w:pStyle w:val="Heading1"/>
      </w:pPr>
      <w:r>
        <w:t>1. The Scientific Question</w:t>
      </w:r>
    </w:p>
    <w:p>
      <w:pPr>
        <w:keepNext w:val="0"/>
        <w:spacing w:before="0" w:after="120" w:line="259" w:lineRule="auto"/>
      </w:pPr>
      <w:r>
        <w:rPr>
          <w:rFonts w:ascii="Aptos" w:hAnsi="Aptos"/>
          <w:sz w:val="20"/>
        </w:rPr>
        <w:t>Precision medicine often tries to choose treatment from information available before therapy begins. HISTAMOS evaluated a complementary hypothesis: in some settings, the patient’s early response to treatment may reveal information that becomes relevant to a later clinical decision.</w:t>
      </w:r>
    </w:p>
    <w:tbl>
      <w:tblPr>
        <w:tblW w:type="auto" w:w="0"/>
        <w:jc w:val="center"/>
        <w:tblLayout w:type="fixed"/>
        <w:tblLook w:firstColumn="1" w:firstRow="1" w:lastColumn="0" w:lastRow="0" w:noHBand="0" w:noVBand="1" w:val="04A0"/>
      </w:tblPr>
      <w:tblGrid>
        <w:gridCol w:w="2033"/>
        <w:gridCol w:w="2033"/>
        <w:gridCol w:w="2033"/>
        <w:gridCol w:w="2033"/>
        <w:gridCol w:w="2033"/>
      </w:tblGrid>
      <w:tr>
        <w:tc>
          <w:tcPr>
            <w:tcW w:type="dxa" w:w="2033"/>
            <w:vAlign w:val="center"/>
            <w:shd w:fill="EAF2F8"/>
            <w:tcBorders>
              <w:top w:val="single" w:sz="5" w:color="D9E2F3"/>
              <w:left w:val="single" w:sz="5" w:color="D9E2F3"/>
              <w:bottom w:val="single" w:sz="5" w:color="D9E2F3"/>
              <w:right w:val="single" w:sz="5" w:color="D9E2F3"/>
            </w:tcBorders>
          </w:tcPr>
          <w:p>
            <w:pPr>
              <w:jc w:val="center"/>
            </w:pPr>
            <w:r>
              <w:rPr>
                <w:rFonts w:ascii="Aptos" w:hAnsi="Aptos"/>
                <w:b/>
                <w:color w:val="23415A"/>
                <w:sz w:val="16"/>
              </w:rPr>
              <w:t>Initial treatment</w:t>
            </w:r>
          </w:p>
        </w:tc>
        <w:tc>
          <w:tcPr>
            <w:tcW w:type="dxa" w:w="2033"/>
            <w:vAlign w:val="center"/>
            <w:shd w:fill="EDF7F2"/>
            <w:tcBorders>
              <w:top w:val="single" w:sz="5" w:color="D9E2F3"/>
              <w:left w:val="single" w:sz="5" w:color="D9E2F3"/>
              <w:bottom w:val="single" w:sz="5" w:color="D9E2F3"/>
              <w:right w:val="single" w:sz="5" w:color="D9E2F3"/>
            </w:tcBorders>
          </w:tcPr>
          <w:p>
            <w:pPr>
              <w:jc w:val="center"/>
            </w:pPr>
            <w:r>
              <w:rPr>
                <w:rFonts w:ascii="Aptos" w:hAnsi="Aptos"/>
                <w:b/>
                <w:color w:val="23415A"/>
                <w:sz w:val="16"/>
              </w:rPr>
              <w:t>Observed response</w:t>
            </w:r>
          </w:p>
        </w:tc>
        <w:tc>
          <w:tcPr>
            <w:tcW w:type="dxa" w:w="2033"/>
            <w:vAlign w:val="center"/>
            <w:shd w:fill="EEF3F8"/>
            <w:tcBorders>
              <w:top w:val="single" w:sz="5" w:color="D9E2F3"/>
              <w:left w:val="single" w:sz="5" w:color="D9E2F3"/>
              <w:bottom w:val="single" w:sz="5" w:color="D9E2F3"/>
              <w:right w:val="single" w:sz="5" w:color="D9E2F3"/>
            </w:tcBorders>
          </w:tcPr>
          <w:p>
            <w:pPr>
              <w:jc w:val="center"/>
            </w:pPr>
            <w:r>
              <w:rPr>
                <w:rFonts w:ascii="Aptos" w:hAnsi="Aptos"/>
                <w:b/>
                <w:color w:val="23415A"/>
                <w:sz w:val="16"/>
              </w:rPr>
              <w:t>Updated patient state</w:t>
            </w:r>
          </w:p>
        </w:tc>
        <w:tc>
          <w:tcPr>
            <w:tcW w:type="dxa" w:w="2033"/>
            <w:vAlign w:val="center"/>
            <w:shd w:fill="FFF4E5"/>
            <w:tcBorders>
              <w:top w:val="single" w:sz="5" w:color="D9E2F3"/>
              <w:left w:val="single" w:sz="5" w:color="D9E2F3"/>
              <w:bottom w:val="single" w:sz="5" w:color="D9E2F3"/>
              <w:right w:val="single" w:sz="5" w:color="D9E2F3"/>
            </w:tcBorders>
          </w:tcPr>
          <w:p>
            <w:pPr>
              <w:jc w:val="center"/>
            </w:pPr>
            <w:r>
              <w:rPr>
                <w:rFonts w:ascii="Aptos" w:hAnsi="Aptos"/>
                <w:b/>
                <w:color w:val="23415A"/>
                <w:sz w:val="16"/>
              </w:rPr>
              <w:t>Next decision</w:t>
            </w:r>
          </w:p>
        </w:tc>
        <w:tc>
          <w:tcPr>
            <w:tcW w:type="dxa" w:w="2033"/>
            <w:vAlign w:val="center"/>
            <w:shd w:fill="FDECEC"/>
            <w:tcBorders>
              <w:top w:val="single" w:sz="5" w:color="D9E2F3"/>
              <w:left w:val="single" w:sz="5" w:color="D9E2F3"/>
              <w:bottom w:val="single" w:sz="5" w:color="D9E2F3"/>
              <w:right w:val="single" w:sz="5" w:color="D9E2F3"/>
            </w:tcBorders>
          </w:tcPr>
          <w:p>
            <w:pPr>
              <w:jc w:val="center"/>
            </w:pPr>
            <w:r>
              <w:rPr>
                <w:rFonts w:ascii="Aptos" w:hAnsi="Aptos"/>
                <w:b/>
                <w:color w:val="23415A"/>
                <w:sz w:val="16"/>
              </w:rPr>
              <w:t>Benefit &amp; harm</w:t>
            </w:r>
          </w:p>
        </w:tc>
      </w:tr>
    </w:tbl>
    <w:p>
      <w:pPr>
        <w:spacing w:after="40"/>
      </w:pPr>
    </w:p>
    <w:p>
      <w:pPr>
        <w:pStyle w:val="Heading2"/>
      </w:pPr>
      <w:r>
        <w:t>The key distinction</w:t>
      </w:r>
    </w:p>
    <w:p>
      <w:pPr>
        <w:pStyle w:val="Callout"/>
      </w:pPr>
      <w:r>
        <w:t>A response can be informative without being treatment-selective.</w:t>
      </w:r>
    </w:p>
    <w:p>
      <w:pPr>
        <w:keepNext w:val="0"/>
        <w:spacing w:before="0" w:after="120" w:line="259" w:lineRule="auto"/>
      </w:pPr>
      <w:r>
        <w:rPr>
          <w:rFonts w:ascii="Aptos" w:hAnsi="Aptos"/>
          <w:sz w:val="19"/>
        </w:rPr>
        <w:t>A response measure may predict prognosis, identify risk, or show that treatment effects differ in magnitude. Those findings do not automatically prove that a different treatment should be chosen for different patients. For treatment selection to be clinically useful, the information must change the preferred action or produce a validated policy that improves outcomes compared with simpler care.</w:t>
      </w:r>
    </w:p>
    <w:p>
      <w:pPr>
        <w:pStyle w:val="Heading1"/>
      </w:pPr>
      <w:r>
        <w:t>2. What the Human Evidence Shows</w:t>
      </w:r>
    </w:p>
    <w:tbl>
      <w:tblPr>
        <w:tblW w:type="auto" w:w="0"/>
        <w:jc w:val="center"/>
        <w:tblLayout w:type="fixed"/>
        <w:tblLook w:firstColumn="1" w:firstRow="1" w:lastColumn="0" w:lastRow="0" w:noHBand="0" w:noVBand="1" w:val="04A0"/>
      </w:tblPr>
      <w:tblGrid>
        <w:gridCol w:w="2088"/>
        <w:gridCol w:w="3240"/>
        <w:gridCol w:w="2592"/>
        <w:gridCol w:w="2592"/>
      </w:tblGrid>
      <w:tr>
        <w:trPr>
          <w:tblHeader w:val="true"/>
        </w:trPr>
        <w:tc>
          <w:tcPr>
            <w:tcW w:type="dxa" w:w="2541"/>
            <w:shd w:fill="1F4E79"/>
            <w:vAlign w:val="center"/>
          </w:tcPr>
          <w:p>
            <w:pPr>
              <w:jc w:val="center"/>
            </w:pPr>
            <w:r>
              <w:rPr>
                <w:rFonts w:ascii="Aptos" w:hAnsi="Aptos"/>
                <w:b/>
                <w:color w:val="FFFFFF"/>
                <w:sz w:val="16"/>
              </w:rPr>
              <w:t>Human evidence</w:t>
            </w:r>
          </w:p>
        </w:tc>
        <w:tc>
          <w:tcPr>
            <w:tcW w:type="dxa" w:w="2541"/>
            <w:shd w:fill="1F4E79"/>
            <w:vAlign w:val="center"/>
          </w:tcPr>
          <w:p>
            <w:pPr>
              <w:jc w:val="center"/>
            </w:pPr>
            <w:r>
              <w:rPr>
                <w:rFonts w:ascii="Aptos" w:hAnsi="Aptos"/>
                <w:b/>
                <w:color w:val="FFFFFF"/>
                <w:sz w:val="16"/>
              </w:rPr>
              <w:t>Observed result</w:t>
            </w:r>
          </w:p>
        </w:tc>
        <w:tc>
          <w:tcPr>
            <w:tcW w:type="dxa" w:w="2541"/>
            <w:shd w:fill="1F4E79"/>
            <w:vAlign w:val="center"/>
          </w:tcPr>
          <w:p>
            <w:pPr>
              <w:jc w:val="center"/>
            </w:pPr>
            <w:r>
              <w:rPr>
                <w:rFonts w:ascii="Aptos" w:hAnsi="Aptos"/>
                <w:b/>
                <w:color w:val="FFFFFF"/>
                <w:sz w:val="16"/>
              </w:rPr>
              <w:t>Why it matters</w:t>
            </w:r>
          </w:p>
        </w:tc>
        <w:tc>
          <w:tcPr>
            <w:tcW w:type="dxa" w:w="2541"/>
            <w:shd w:fill="1F4E79"/>
            <w:vAlign w:val="center"/>
          </w:tcPr>
          <w:p>
            <w:pPr>
              <w:jc w:val="center"/>
            </w:pPr>
            <w:r>
              <w:rPr>
                <w:rFonts w:ascii="Aptos" w:hAnsi="Aptos"/>
                <w:b/>
                <w:color w:val="FFFFFF"/>
                <w:sz w:val="16"/>
              </w:rPr>
              <w:t>Public interpretation</w:t>
            </w:r>
          </w:p>
        </w:tc>
      </w:tr>
      <w:tr>
        <w:tc>
          <w:tcPr>
            <w:tcW w:type="dxa" w:w="2541"/>
            <w:vAlign w:val="top"/>
            <w:tcBorders>
              <w:left w:val="single" w:sz="4" w:color="E8E8E8"/>
              <w:bottom w:val="single" w:sz="4" w:color="D9D9D9"/>
              <w:right w:val="single" w:sz="4" w:color="E8E8E8"/>
            </w:tcBorders>
          </w:tcPr>
          <w:p>
            <w:r>
              <w:rPr>
                <w:rFonts w:ascii="Aptos" w:hAnsi="Aptos"/>
                <w:b/>
                <w:sz w:val="15"/>
              </w:rPr>
              <w:t>PARAMOUNT</w:t>
              <w:br/>
              <w:t>Advanced nonsquamous NSCLC</w:t>
            </w:r>
          </w:p>
        </w:tc>
        <w:tc>
          <w:tcPr>
            <w:tcW w:type="dxa" w:w="2541"/>
            <w:vAlign w:val="top"/>
            <w:tcBorders>
              <w:left w:val="single" w:sz="4" w:color="E8E8E8"/>
              <w:bottom w:val="single" w:sz="4" w:color="D9D9D9"/>
              <w:right w:val="single" w:sz="4" w:color="E8E8E8"/>
            </w:tcBorders>
          </w:tcPr>
          <w:p>
            <w:r>
              <w:rPr>
                <w:rFonts w:ascii="Aptos" w:hAnsi="Aptos"/>
                <w:b w:val="0"/>
                <w:sz w:val="15"/>
              </w:rPr>
              <w:t>939 received common induction; 539 were randomized to maintenance pemetrexed or placebo. Maintenance improved PFS (HR 0.62) and OS (HR 0.78). Benefit remained similar across induction-response groups.</w:t>
            </w:r>
          </w:p>
        </w:tc>
        <w:tc>
          <w:tcPr>
            <w:tcW w:type="dxa" w:w="2541"/>
            <w:vAlign w:val="top"/>
            <w:tcBorders>
              <w:left w:val="single" w:sz="4" w:color="E8E8E8"/>
              <w:bottom w:val="single" w:sz="4" w:color="D9D9D9"/>
              <w:right w:val="single" w:sz="4" w:color="E8E8E8"/>
            </w:tcBorders>
          </w:tcPr>
          <w:p>
            <w:r>
              <w:rPr>
                <w:rFonts w:ascii="Aptos" w:hAnsi="Aptos"/>
                <w:b w:val="0"/>
                <w:sz w:val="15"/>
              </w:rPr>
              <w:t>A real post-treatment response state existed before the maintenance decision, yet it did not clearly identify who benefited more.</w:t>
            </w:r>
          </w:p>
        </w:tc>
        <w:tc>
          <w:tcPr>
            <w:tcW w:type="dxa" w:w="2541"/>
            <w:vAlign w:val="top"/>
            <w:tcBorders>
              <w:left w:val="single" w:sz="4" w:color="E8E8E8"/>
              <w:bottom w:val="single" w:sz="4" w:color="D9D9D9"/>
              <w:right w:val="single" w:sz="4" w:color="E8E8E8"/>
            </w:tcBorders>
          </w:tcPr>
          <w:p>
            <w:r>
              <w:rPr>
                <w:rFonts w:ascii="Aptos" w:hAnsi="Aptos"/>
                <w:b w:val="0"/>
                <w:sz w:val="15"/>
              </w:rPr>
              <w:t>Post-treatment response is not automatically a treatment selector.</w:t>
            </w:r>
          </w:p>
        </w:tc>
      </w:tr>
      <w:tr>
        <w:tc>
          <w:tcPr>
            <w:tcW w:type="dxa" w:w="2541"/>
            <w:vAlign w:val="top"/>
            <w:tcBorders>
              <w:left w:val="single" w:sz="4" w:color="E8E8E8"/>
              <w:bottom w:val="single" w:sz="4" w:color="D9D9D9"/>
              <w:right w:val="single" w:sz="4" w:color="E8E8E8"/>
            </w:tcBorders>
          </w:tcPr>
          <w:p>
            <w:r>
              <w:rPr>
                <w:rFonts w:ascii="Aptos" w:hAnsi="Aptos"/>
                <w:b/>
                <w:sz w:val="15"/>
              </w:rPr>
              <w:t>IFCT-GFPC-1101</w:t>
              <w:br/>
              <w:t>Advanced NSCLC</w:t>
            </w:r>
          </w:p>
        </w:tc>
        <w:tc>
          <w:tcPr>
            <w:tcW w:type="dxa" w:w="2541"/>
            <w:vAlign w:val="top"/>
            <w:tcBorders>
              <w:left w:val="single" w:sz="4" w:color="E8E8E8"/>
              <w:bottom w:val="single" w:sz="4" w:color="D9D9D9"/>
              <w:right w:val="single" w:sz="4" w:color="E8E8E8"/>
            </w:tcBorders>
          </w:tcPr>
          <w:p>
            <w:r>
              <w:rPr>
                <w:rFonts w:ascii="Aptos" w:hAnsi="Aptos"/>
                <w:b w:val="0"/>
                <w:sz w:val="15"/>
              </w:rPr>
              <w:t>932 patients were randomized. A maintenance strategy adapted to induction response did not improve overall survival versus control (adjusted HR 0.97; p=0.71).</w:t>
            </w:r>
          </w:p>
        </w:tc>
        <w:tc>
          <w:tcPr>
            <w:tcW w:type="dxa" w:w="2541"/>
            <w:vAlign w:val="top"/>
            <w:tcBorders>
              <w:left w:val="single" w:sz="4" w:color="E8E8E8"/>
              <w:bottom w:val="single" w:sz="4" w:color="D9D9D9"/>
              <w:right w:val="single" w:sz="4" w:color="E8E8E8"/>
            </w:tcBorders>
          </w:tcPr>
          <w:p>
            <w:r>
              <w:rPr>
                <w:rFonts w:ascii="Aptos" w:hAnsi="Aptos"/>
                <w:b w:val="0"/>
                <w:sz w:val="15"/>
              </w:rPr>
              <w:t>Tailoring treatment to response can be clinically plausible and still fail to improve outcome.</w:t>
            </w:r>
          </w:p>
        </w:tc>
        <w:tc>
          <w:tcPr>
            <w:tcW w:type="dxa" w:w="2541"/>
            <w:vAlign w:val="top"/>
            <w:tcBorders>
              <w:left w:val="single" w:sz="4" w:color="E8E8E8"/>
              <w:bottom w:val="single" w:sz="4" w:color="D9D9D9"/>
              <w:right w:val="single" w:sz="4" w:color="E8E8E8"/>
            </w:tcBorders>
          </w:tcPr>
          <w:p>
            <w:r>
              <w:rPr>
                <w:rFonts w:ascii="Aptos" w:hAnsi="Aptos"/>
                <w:b w:val="0"/>
                <w:sz w:val="15"/>
              </w:rPr>
              <w:t>Response-guided treatment must prove value; plausibility is insufficient.</w:t>
            </w:r>
          </w:p>
        </w:tc>
      </w:tr>
      <w:tr>
        <w:tc>
          <w:tcPr>
            <w:tcW w:type="dxa" w:w="2541"/>
            <w:vAlign w:val="top"/>
            <w:tcBorders>
              <w:left w:val="single" w:sz="4" w:color="E8E8E8"/>
              <w:bottom w:val="single" w:sz="4" w:color="D9D9D9"/>
              <w:right w:val="single" w:sz="4" w:color="E8E8E8"/>
            </w:tcBorders>
          </w:tcPr>
          <w:p>
            <w:r>
              <w:rPr>
                <w:rFonts w:ascii="Aptos" w:hAnsi="Aptos"/>
                <w:b/>
                <w:sz w:val="15"/>
              </w:rPr>
              <w:t>Myeloma XI</w:t>
              <w:br/>
              <w:t>Multiple myeloma</w:t>
            </w:r>
          </w:p>
        </w:tc>
        <w:tc>
          <w:tcPr>
            <w:tcW w:type="dxa" w:w="2541"/>
            <w:vAlign w:val="top"/>
            <w:tcBorders>
              <w:left w:val="single" w:sz="4" w:color="E8E8E8"/>
              <w:bottom w:val="single" w:sz="4" w:color="D9D9D9"/>
              <w:right w:val="single" w:sz="4" w:color="E8E8E8"/>
            </w:tcBorders>
          </w:tcPr>
          <w:p>
            <w:r>
              <w:rPr>
                <w:rFonts w:ascii="Aptos" w:hAnsi="Aptos"/>
                <w:b w:val="0"/>
                <w:sz w:val="15"/>
              </w:rPr>
              <w:t>Lenalidomide maintenance improved median PFS from 20 to 39 months (HR 0.46), with benefit across prespecified subgroups.</w:t>
            </w:r>
          </w:p>
        </w:tc>
        <w:tc>
          <w:tcPr>
            <w:tcW w:type="dxa" w:w="2541"/>
            <w:vAlign w:val="top"/>
            <w:tcBorders>
              <w:left w:val="single" w:sz="4" w:color="E8E8E8"/>
              <w:bottom w:val="single" w:sz="4" w:color="D9D9D9"/>
              <w:right w:val="single" w:sz="4" w:color="E8E8E8"/>
            </w:tcBorders>
          </w:tcPr>
          <w:p>
            <w:r>
              <w:rPr>
                <w:rFonts w:ascii="Aptos" w:hAnsi="Aptos"/>
                <w:b w:val="0"/>
                <w:sz w:val="15"/>
              </w:rPr>
              <w:t>A strong simple treatment policy creates a high bar for any personalization strategy.</w:t>
            </w:r>
          </w:p>
        </w:tc>
        <w:tc>
          <w:tcPr>
            <w:tcW w:type="dxa" w:w="2541"/>
            <w:vAlign w:val="top"/>
            <w:tcBorders>
              <w:left w:val="single" w:sz="4" w:color="E8E8E8"/>
              <w:bottom w:val="single" w:sz="4" w:color="D9D9D9"/>
              <w:right w:val="single" w:sz="4" w:color="E8E8E8"/>
            </w:tcBorders>
          </w:tcPr>
          <w:p>
            <w:r>
              <w:rPr>
                <w:rFonts w:ascii="Aptos" w:hAnsi="Aptos"/>
                <w:b w:val="0"/>
                <w:sz w:val="15"/>
              </w:rPr>
              <w:t>Personalization must outperform effective standard care, not merely identify heterogeneity.</w:t>
            </w:r>
          </w:p>
        </w:tc>
      </w:tr>
    </w:tbl>
    <w:p>
      <w:pPr>
        <w:pStyle w:val="SmallNote"/>
      </w:pPr>
      <w:r>
        <w:t>These examples are public human evidence used to define the scientific boundary. They do not disclose how HISTAMOS generated, screened, or adjudicated the research hypothesis.</w:t>
      </w:r>
    </w:p>
    <w:p>
      <w:r>
        <w:br w:type="page"/>
      </w:r>
    </w:p>
    <w:p>
      <w:pPr>
        <w:pStyle w:val="Heading1"/>
      </w:pPr>
      <w:r>
        <w:t>3. Proof of Work: What HISTAMOS Has Demonstrated</w:t>
      </w:r>
    </w:p>
    <w:p>
      <w:pPr>
        <w:keepNext w:val="0"/>
        <w:spacing w:before="0" w:after="120" w:line="259" w:lineRule="auto"/>
      </w:pPr>
      <w:r>
        <w:rPr>
          <w:rFonts w:ascii="Aptos" w:hAnsi="Aptos"/>
          <w:sz w:val="20"/>
        </w:rPr>
        <w:t>The value demonstrated to date is not a clinically approved cancer classifier. It is a research capability: identifying a potentially important treatment-decision hypothesis, challenging it against independent human evidence, and stopping the claim when the evidence does not justify treatment allocation.</w:t>
      </w:r>
    </w:p>
    <w:tbl>
      <w:tblPr>
        <w:tblW w:type="auto" w:w="0"/>
        <w:jc w:val="center"/>
        <w:tblLook w:firstColumn="1" w:firstRow="1" w:lastColumn="0" w:lastRow="0" w:noHBand="0" w:noVBand="1" w:val="04A0"/>
      </w:tblPr>
      <w:tblGrid>
        <w:gridCol w:w="3312"/>
        <w:gridCol w:w="2304"/>
        <w:gridCol w:w="4752"/>
      </w:tblGrid>
      <w:tr>
        <w:trPr>
          <w:tblHeader w:val="true"/>
        </w:trPr>
        <w:tc>
          <w:tcPr>
            <w:tcW w:type="dxa" w:w="3389"/>
            <w:shd w:fill="1F4E79"/>
          </w:tcPr>
          <w:p>
            <w:pPr>
              <w:jc w:val="center"/>
            </w:pPr>
            <w:r>
              <w:rPr>
                <w:rFonts w:ascii="Aptos" w:hAnsi="Aptos"/>
                <w:b/>
                <w:color w:val="FFFFFF"/>
                <w:sz w:val="16"/>
              </w:rPr>
              <w:t>Capability demonstrated</w:t>
            </w:r>
          </w:p>
        </w:tc>
        <w:tc>
          <w:tcPr>
            <w:tcW w:type="dxa" w:w="3389"/>
            <w:shd w:fill="1F4E79"/>
          </w:tcPr>
          <w:p>
            <w:pPr>
              <w:jc w:val="center"/>
            </w:pPr>
            <w:r>
              <w:rPr>
                <w:rFonts w:ascii="Aptos" w:hAnsi="Aptos"/>
                <w:b/>
                <w:color w:val="FFFFFF"/>
                <w:sz w:val="16"/>
              </w:rPr>
              <w:t>Evidence status</w:t>
            </w:r>
          </w:p>
        </w:tc>
        <w:tc>
          <w:tcPr>
            <w:tcW w:type="dxa" w:w="3389"/>
            <w:shd w:fill="1F4E79"/>
          </w:tcPr>
          <w:p>
            <w:pPr>
              <w:jc w:val="center"/>
            </w:pPr>
            <w:r>
              <w:rPr>
                <w:rFonts w:ascii="Aptos" w:hAnsi="Aptos"/>
                <w:b/>
                <w:color w:val="FFFFFF"/>
                <w:sz w:val="16"/>
              </w:rPr>
              <w:t>Public-safe conclusion</w:t>
            </w:r>
          </w:p>
        </w:tc>
      </w:tr>
      <w:tr>
        <w:tc>
          <w:tcPr>
            <w:tcW w:type="dxa" w:w="3389"/>
            <w:vAlign w:val="top"/>
            <w:tcBorders>
              <w:bottom w:val="single" w:sz="4" w:color="D9D9D9"/>
            </w:tcBorders>
          </w:tcPr>
          <w:p>
            <w:r>
              <w:rPr>
                <w:rFonts w:ascii="Aptos" w:hAnsi="Aptos"/>
                <w:b/>
                <w:sz w:val="16"/>
              </w:rPr>
              <w:t>Detect additional information after treatment begins</w:t>
            </w:r>
          </w:p>
        </w:tc>
        <w:tc>
          <w:tcPr>
            <w:tcW w:type="dxa" w:w="3389"/>
            <w:vAlign w:val="top"/>
            <w:tcBorders>
              <w:bottom w:val="single" w:sz="4" w:color="D9D9D9"/>
            </w:tcBorders>
          </w:tcPr>
          <w:p>
            <w:r>
              <w:rPr>
                <w:rFonts w:ascii="Aptos" w:hAnsi="Aptos"/>
                <w:b w:val="0"/>
                <w:sz w:val="16"/>
              </w:rPr>
              <w:t>Supported, bounded</w:t>
            </w:r>
          </w:p>
        </w:tc>
        <w:tc>
          <w:tcPr>
            <w:tcW w:type="dxa" w:w="3389"/>
            <w:vAlign w:val="top"/>
            <w:tcBorders>
              <w:bottom w:val="single" w:sz="4" w:color="D9D9D9"/>
            </w:tcBorders>
          </w:tcPr>
          <w:p>
            <w:r>
              <w:rPr>
                <w:rFonts w:ascii="Aptos" w:hAnsi="Aptos"/>
                <w:b w:val="0"/>
                <w:sz w:val="16"/>
              </w:rPr>
              <w:t>Patient state can evolve in ways that add information beyond the initial snapshot.</w:t>
            </w:r>
          </w:p>
        </w:tc>
      </w:tr>
      <w:tr>
        <w:tc>
          <w:tcPr>
            <w:tcW w:type="dxa" w:w="3389"/>
            <w:vAlign w:val="top"/>
            <w:tcBorders>
              <w:bottom w:val="single" w:sz="4" w:color="D9D9D9"/>
            </w:tcBorders>
          </w:tcPr>
          <w:p>
            <w:r>
              <w:rPr>
                <w:rFonts w:ascii="Aptos" w:hAnsi="Aptos"/>
                <w:b/>
                <w:sz w:val="16"/>
              </w:rPr>
              <w:t>Separate prognosis from treatment choice</w:t>
            </w:r>
          </w:p>
        </w:tc>
        <w:tc>
          <w:tcPr>
            <w:tcW w:type="dxa" w:w="3389"/>
            <w:vAlign w:val="top"/>
            <w:tcBorders>
              <w:bottom w:val="single" w:sz="4" w:color="D9D9D9"/>
            </w:tcBorders>
          </w:tcPr>
          <w:p>
            <w:r>
              <w:rPr>
                <w:rFonts w:ascii="Aptos" w:hAnsi="Aptos"/>
                <w:b w:val="0"/>
                <w:sz w:val="16"/>
              </w:rPr>
              <w:t>Demonstrated as a scientific boundary</w:t>
            </w:r>
          </w:p>
        </w:tc>
        <w:tc>
          <w:tcPr>
            <w:tcW w:type="dxa" w:w="3389"/>
            <w:vAlign w:val="top"/>
            <w:tcBorders>
              <w:bottom w:val="single" w:sz="4" w:color="D9D9D9"/>
            </w:tcBorders>
          </w:tcPr>
          <w:p>
            <w:r>
              <w:rPr>
                <w:rFonts w:ascii="Aptos" w:hAnsi="Aptos"/>
                <w:b w:val="0"/>
                <w:sz w:val="16"/>
              </w:rPr>
              <w:t>A patient can be higher risk without requiring a different next therapy.</w:t>
            </w:r>
          </w:p>
        </w:tc>
      </w:tr>
      <w:tr>
        <w:tc>
          <w:tcPr>
            <w:tcW w:type="dxa" w:w="3389"/>
            <w:vAlign w:val="top"/>
            <w:tcBorders>
              <w:bottom w:val="single" w:sz="4" w:color="D9D9D9"/>
            </w:tcBorders>
          </w:tcPr>
          <w:p>
            <w:r>
              <w:rPr>
                <w:rFonts w:ascii="Aptos" w:hAnsi="Aptos"/>
                <w:b/>
                <w:sz w:val="16"/>
              </w:rPr>
              <w:t>Stress-test treatment-response personalization</w:t>
            </w:r>
          </w:p>
        </w:tc>
        <w:tc>
          <w:tcPr>
            <w:tcW w:type="dxa" w:w="3389"/>
            <w:vAlign w:val="top"/>
            <w:tcBorders>
              <w:bottom w:val="single" w:sz="4" w:color="D9D9D9"/>
            </w:tcBorders>
          </w:tcPr>
          <w:p>
            <w:r>
              <w:rPr>
                <w:rFonts w:ascii="Aptos" w:hAnsi="Aptos"/>
                <w:b w:val="0"/>
                <w:sz w:val="16"/>
              </w:rPr>
              <w:t>Completed across multiple human contexts</w:t>
            </w:r>
          </w:p>
        </w:tc>
        <w:tc>
          <w:tcPr>
            <w:tcW w:type="dxa" w:w="3389"/>
            <w:vAlign w:val="top"/>
            <w:tcBorders>
              <w:bottom w:val="single" w:sz="4" w:color="D9D9D9"/>
            </w:tcBorders>
          </w:tcPr>
          <w:p>
            <w:r>
              <w:rPr>
                <w:rFonts w:ascii="Aptos" w:hAnsi="Aptos"/>
                <w:b w:val="0"/>
                <w:sz w:val="16"/>
              </w:rPr>
              <w:t>Several plausible signals did not survive the standard required for treatment allocation.</w:t>
            </w:r>
          </w:p>
        </w:tc>
      </w:tr>
      <w:tr>
        <w:tc>
          <w:tcPr>
            <w:tcW w:type="dxa" w:w="3389"/>
            <w:vAlign w:val="top"/>
            <w:tcBorders>
              <w:bottom w:val="single" w:sz="4" w:color="D9D9D9"/>
            </w:tcBorders>
          </w:tcPr>
          <w:p>
            <w:r>
              <w:rPr>
                <w:rFonts w:ascii="Aptos" w:hAnsi="Aptos"/>
                <w:b/>
                <w:sz w:val="16"/>
              </w:rPr>
              <w:t>Define the remaining validation gap</w:t>
            </w:r>
          </w:p>
        </w:tc>
        <w:tc>
          <w:tcPr>
            <w:tcW w:type="dxa" w:w="3389"/>
            <w:vAlign w:val="top"/>
            <w:tcBorders>
              <w:bottom w:val="single" w:sz="4" w:color="D9D9D9"/>
            </w:tcBorders>
          </w:tcPr>
          <w:p>
            <w:r>
              <w:rPr>
                <w:rFonts w:ascii="Aptos" w:hAnsi="Aptos"/>
                <w:b w:val="0"/>
                <w:sz w:val="16"/>
              </w:rPr>
              <w:t>Clear</w:t>
            </w:r>
          </w:p>
        </w:tc>
        <w:tc>
          <w:tcPr>
            <w:tcW w:type="dxa" w:w="3389"/>
            <w:vAlign w:val="top"/>
            <w:tcBorders>
              <w:bottom w:val="single" w:sz="4" w:color="D9D9D9"/>
            </w:tcBorders>
          </w:tcPr>
          <w:p>
            <w:r>
              <w:rPr>
                <w:rFonts w:ascii="Aptos" w:hAnsi="Aptos"/>
                <w:b w:val="0"/>
                <w:sz w:val="16"/>
              </w:rPr>
              <w:t>The unresolved question requires prospective, independent clinical validation.</w:t>
            </w:r>
          </w:p>
        </w:tc>
      </w:tr>
    </w:tbl>
    <w:p>
      <w:pPr>
        <w:pStyle w:val="Heading1"/>
      </w:pPr>
      <w:r>
        <w:t>4. Why Successful Validation Could Matter for Patients</w:t>
      </w:r>
    </w:p>
    <w:p>
      <w:pPr>
        <w:pStyle w:val="ListBullet"/>
        <w:spacing w:after="60" w:line="252" w:lineRule="auto"/>
      </w:pPr>
      <w:r>
        <w:rPr>
          <w:rFonts w:ascii="Aptos" w:hAnsi="Aptos"/>
          <w:sz w:val="19"/>
        </w:rPr>
        <w:t>Avoid unnecessary continuation of expensive or toxic therapy when additional treatment does not provide enough incremental benefit.</w:t>
      </w:r>
    </w:p>
    <w:p>
      <w:pPr>
        <w:pStyle w:val="ListBullet"/>
        <w:spacing w:after="60" w:line="252" w:lineRule="auto"/>
      </w:pPr>
      <w:r>
        <w:rPr>
          <w:rFonts w:ascii="Aptos" w:hAnsi="Aptos"/>
          <w:sz w:val="19"/>
        </w:rPr>
        <w:t>Avoid premature discontinuation in patients who continue to benefit from treatment.</w:t>
      </w:r>
    </w:p>
    <w:p>
      <w:pPr>
        <w:pStyle w:val="ListBullet"/>
        <w:spacing w:after="60" w:line="252" w:lineRule="auto"/>
      </w:pPr>
      <w:r>
        <w:rPr>
          <w:rFonts w:ascii="Aptos" w:hAnsi="Aptos"/>
          <w:sz w:val="19"/>
        </w:rPr>
        <w:t>Identify patients who need escalation, rescue, or closer monitoring earlier.</w:t>
      </w:r>
    </w:p>
    <w:p>
      <w:pPr>
        <w:pStyle w:val="ListBullet"/>
        <w:spacing w:after="60" w:line="252" w:lineRule="auto"/>
      </w:pPr>
      <w:r>
        <w:rPr>
          <w:rFonts w:ascii="Aptos" w:hAnsi="Aptos"/>
          <w:sz w:val="19"/>
        </w:rPr>
        <w:t>Reduce exposure to adverse effects while preserving cancer control as a non-negotiable outcome.</w:t>
      </w:r>
    </w:p>
    <w:p>
      <w:pPr>
        <w:pStyle w:val="Callout"/>
      </w:pPr>
      <w:r>
        <w:t>The clinical objective is not 'less treatment.' It is less ineffective treatment without sacrificing effective treatment.</w:t>
      </w:r>
    </w:p>
    <w:p>
      <w:pPr>
        <w:pStyle w:val="Heading1"/>
      </w:pPr>
      <w:r>
        <w:t>5. Economic Relevance if Clinically Validated</w:t>
      </w:r>
    </w:p>
    <w:p>
      <w:pPr>
        <w:keepNext w:val="0"/>
        <w:spacing w:before="0" w:after="120" w:line="259" w:lineRule="auto"/>
      </w:pPr>
      <w:r>
        <w:rPr>
          <w:rFonts w:ascii="Aptos" w:hAnsi="Aptos"/>
          <w:color w:val="4B4B4B"/>
          <w:sz w:val="18"/>
        </w:rPr>
        <w:t>The following are illustrative payer scenarios built from published list prices and real-world complication costs. They are not savings achieved by HISTAMOS and do not predict the effect size of a future validated system.</w:t>
      </w:r>
    </w:p>
    <w:tbl>
      <w:tblPr>
        <w:tblW w:type="auto" w:w="0"/>
        <w:jc w:val="center"/>
        <w:tblLook w:firstColumn="1" w:firstRow="1" w:lastColumn="0" w:lastRow="0" w:noHBand="0" w:noVBand="1" w:val="04A0"/>
      </w:tblPr>
      <w:tblGrid>
        <w:gridCol w:w="2448"/>
        <w:gridCol w:w="1440"/>
        <w:gridCol w:w="3672"/>
        <w:gridCol w:w="2880"/>
      </w:tblGrid>
      <w:tr>
        <w:trPr>
          <w:tblHeader w:val="true"/>
        </w:trPr>
        <w:tc>
          <w:tcPr>
            <w:tcW w:type="dxa" w:w="2541"/>
            <w:shd w:fill="1F4E79"/>
          </w:tcPr>
          <w:p>
            <w:pPr>
              <w:jc w:val="center"/>
            </w:pPr>
            <w:r>
              <w:rPr>
                <w:rFonts w:ascii="Aptos" w:hAnsi="Aptos"/>
                <w:b/>
                <w:color w:val="FFFFFF"/>
                <w:sz w:val="15"/>
              </w:rPr>
              <w:t>Published cost anchor</w:t>
            </w:r>
          </w:p>
        </w:tc>
        <w:tc>
          <w:tcPr>
            <w:tcW w:type="dxa" w:w="2541"/>
            <w:shd w:fill="1F4E79"/>
          </w:tcPr>
          <w:p>
            <w:pPr>
              <w:jc w:val="center"/>
            </w:pPr>
            <w:r>
              <w:rPr>
                <w:rFonts w:ascii="Aptos" w:hAnsi="Aptos"/>
                <w:b/>
                <w:color w:val="FFFFFF"/>
                <w:sz w:val="15"/>
              </w:rPr>
              <w:t>Public source</w:t>
            </w:r>
          </w:p>
        </w:tc>
        <w:tc>
          <w:tcPr>
            <w:tcW w:type="dxa" w:w="2541"/>
            <w:shd w:fill="1F4E79"/>
          </w:tcPr>
          <w:p>
            <w:pPr>
              <w:jc w:val="center"/>
            </w:pPr>
            <w:r>
              <w:rPr>
                <w:rFonts w:ascii="Aptos" w:hAnsi="Aptos"/>
                <w:b/>
                <w:color w:val="FFFFFF"/>
                <w:sz w:val="15"/>
              </w:rPr>
              <w:t>Illustrative validated-use scenario</w:t>
            </w:r>
          </w:p>
        </w:tc>
        <w:tc>
          <w:tcPr>
            <w:tcW w:type="dxa" w:w="2541"/>
            <w:shd w:fill="1F4E79"/>
          </w:tcPr>
          <w:p>
            <w:pPr>
              <w:jc w:val="center"/>
            </w:pPr>
            <w:r>
              <w:rPr>
                <w:rFonts w:ascii="Aptos" w:hAnsi="Aptos"/>
                <w:b/>
                <w:color w:val="FFFFFF"/>
                <w:sz w:val="15"/>
              </w:rPr>
              <w:t>Gross cost leverage</w:t>
            </w:r>
          </w:p>
        </w:tc>
      </w:tr>
      <w:tr>
        <w:tc>
          <w:tcPr>
            <w:tcW w:type="dxa" w:w="2541"/>
            <w:vAlign w:val="top"/>
            <w:tcBorders>
              <w:bottom w:val="single" w:sz="4" w:color="D9D9D9"/>
            </w:tcBorders>
          </w:tcPr>
          <w:p>
            <w:r>
              <w:rPr>
                <w:rFonts w:ascii="Aptos" w:hAnsi="Aptos"/>
                <w:b/>
                <w:sz w:val="15"/>
              </w:rPr>
              <w:t>Olaparib: £4,635 per 28-day cycle</w:t>
            </w:r>
          </w:p>
        </w:tc>
        <w:tc>
          <w:tcPr>
            <w:tcW w:type="dxa" w:w="2541"/>
            <w:vAlign w:val="top"/>
            <w:tcBorders>
              <w:bottom w:val="single" w:sz="4" w:color="D9D9D9"/>
            </w:tcBorders>
          </w:tcPr>
          <w:p>
            <w:r>
              <w:rPr>
                <w:rFonts w:ascii="Aptos" w:hAnsi="Aptos"/>
                <w:b w:val="0"/>
                <w:sz w:val="15"/>
              </w:rPr>
              <w:t>NICE TA962</w:t>
            </w:r>
          </w:p>
        </w:tc>
        <w:tc>
          <w:tcPr>
            <w:tcW w:type="dxa" w:w="2541"/>
            <w:vAlign w:val="top"/>
            <w:tcBorders>
              <w:bottom w:val="single" w:sz="4" w:color="D9D9D9"/>
            </w:tcBorders>
          </w:tcPr>
          <w:p>
            <w:r>
              <w:rPr>
                <w:rFonts w:ascii="Aptos" w:hAnsi="Aptos"/>
                <w:b w:val="0"/>
                <w:sz w:val="15"/>
              </w:rPr>
              <w:t>If a future validated selector safely avoided 6 months of therapy for 20 of 100 patients</w:t>
            </w:r>
          </w:p>
        </w:tc>
        <w:tc>
          <w:tcPr>
            <w:tcW w:type="dxa" w:w="2541"/>
            <w:vAlign w:val="top"/>
            <w:tcBorders>
              <w:bottom w:val="single" w:sz="4" w:color="D9D9D9"/>
            </w:tcBorders>
          </w:tcPr>
          <w:p>
            <w:r>
              <w:rPr>
                <w:rFonts w:ascii="Aptos" w:hAnsi="Aptos"/>
                <w:b w:val="0"/>
                <w:sz w:val="15"/>
              </w:rPr>
              <w:t>≈ £602,550 in gross list-price drug spending not incurred per 100 patients</w:t>
            </w:r>
          </w:p>
        </w:tc>
      </w:tr>
      <w:tr>
        <w:tc>
          <w:tcPr>
            <w:tcW w:type="dxa" w:w="2541"/>
            <w:vAlign w:val="top"/>
            <w:tcBorders>
              <w:bottom w:val="single" w:sz="4" w:color="D9D9D9"/>
            </w:tcBorders>
          </w:tcPr>
          <w:p>
            <w:r>
              <w:rPr>
                <w:rFonts w:ascii="Aptos" w:hAnsi="Aptos"/>
                <w:b/>
                <w:sz w:val="15"/>
              </w:rPr>
              <w:t>Lenalidomide 10 mg: £3,780 per 28-day cycle</w:t>
            </w:r>
          </w:p>
        </w:tc>
        <w:tc>
          <w:tcPr>
            <w:tcW w:type="dxa" w:w="2541"/>
            <w:vAlign w:val="top"/>
            <w:tcBorders>
              <w:bottom w:val="single" w:sz="4" w:color="D9D9D9"/>
            </w:tcBorders>
          </w:tcPr>
          <w:p>
            <w:r>
              <w:rPr>
                <w:rFonts w:ascii="Aptos" w:hAnsi="Aptos"/>
                <w:b w:val="0"/>
                <w:sz w:val="15"/>
              </w:rPr>
              <w:t>NICE TA680</w:t>
            </w:r>
          </w:p>
        </w:tc>
        <w:tc>
          <w:tcPr>
            <w:tcW w:type="dxa" w:w="2541"/>
            <w:vAlign w:val="top"/>
            <w:tcBorders>
              <w:bottom w:val="single" w:sz="4" w:color="D9D9D9"/>
            </w:tcBorders>
          </w:tcPr>
          <w:p>
            <w:r>
              <w:rPr>
                <w:rFonts w:ascii="Aptos" w:hAnsi="Aptos"/>
                <w:b w:val="0"/>
                <w:sz w:val="15"/>
              </w:rPr>
              <w:t>Same illustrative scenario: 20 of 100 patients safely avoid 6 months</w:t>
            </w:r>
          </w:p>
        </w:tc>
        <w:tc>
          <w:tcPr>
            <w:tcW w:type="dxa" w:w="2541"/>
            <w:vAlign w:val="top"/>
            <w:tcBorders>
              <w:bottom w:val="single" w:sz="4" w:color="D9D9D9"/>
            </w:tcBorders>
          </w:tcPr>
          <w:p>
            <w:r>
              <w:rPr>
                <w:rFonts w:ascii="Aptos" w:hAnsi="Aptos"/>
                <w:b w:val="0"/>
                <w:sz w:val="15"/>
              </w:rPr>
              <w:t>≈ £491,400 in gross list-price drug spending not incurred per 100 patients</w:t>
            </w:r>
          </w:p>
        </w:tc>
      </w:tr>
      <w:tr>
        <w:tc>
          <w:tcPr>
            <w:tcW w:type="dxa" w:w="2541"/>
            <w:vAlign w:val="top"/>
            <w:tcBorders>
              <w:bottom w:val="single" w:sz="4" w:color="D9D9D9"/>
            </w:tcBorders>
          </w:tcPr>
          <w:p>
            <w:r>
              <w:rPr>
                <w:rFonts w:ascii="Aptos" w:hAnsi="Aptos"/>
                <w:b/>
                <w:sz w:val="15"/>
              </w:rPr>
              <w:t>Hospitalized febrile neutropenia: mean $26,868 per episode</w:t>
            </w:r>
          </w:p>
        </w:tc>
        <w:tc>
          <w:tcPr>
            <w:tcW w:type="dxa" w:w="2541"/>
            <w:vAlign w:val="top"/>
            <w:tcBorders>
              <w:bottom w:val="single" w:sz="4" w:color="D9D9D9"/>
            </w:tcBorders>
          </w:tcPr>
          <w:p>
            <w:r>
              <w:rPr>
                <w:rFonts w:ascii="Aptos" w:hAnsi="Aptos"/>
                <w:b w:val="0"/>
                <w:sz w:val="15"/>
              </w:rPr>
              <w:t>Flanigan et al., 2024</w:t>
            </w:r>
          </w:p>
        </w:tc>
        <w:tc>
          <w:tcPr>
            <w:tcW w:type="dxa" w:w="2541"/>
            <w:vAlign w:val="top"/>
            <w:tcBorders>
              <w:bottom w:val="single" w:sz="4" w:color="D9D9D9"/>
            </w:tcBorders>
          </w:tcPr>
          <w:p>
            <w:r>
              <w:rPr>
                <w:rFonts w:ascii="Aptos" w:hAnsi="Aptos"/>
                <w:b w:val="0"/>
                <w:sz w:val="15"/>
              </w:rPr>
              <w:t>If validated treatment optimization prevented 5 such episodes in an appropriate population</w:t>
            </w:r>
          </w:p>
        </w:tc>
        <w:tc>
          <w:tcPr>
            <w:tcW w:type="dxa" w:w="2541"/>
            <w:vAlign w:val="top"/>
            <w:tcBorders>
              <w:bottom w:val="single" w:sz="4" w:color="D9D9D9"/>
            </w:tcBorders>
          </w:tcPr>
          <w:p>
            <w:r>
              <w:rPr>
                <w:rFonts w:ascii="Aptos" w:hAnsi="Aptos"/>
                <w:b w:val="0"/>
                <w:sz w:val="15"/>
              </w:rPr>
              <w:t>≈ $134,340 in FN-related hospitalization costs avoided</w:t>
            </w:r>
          </w:p>
        </w:tc>
      </w:tr>
    </w:tbl>
    <w:p>
      <w:pPr>
        <w:pStyle w:val="SmallNote"/>
      </w:pPr>
      <w:r>
        <w:t>List prices exclude VAT and may differ materially from actual payer costs because of confidential commercial discounts. The economic examples show scale only; they are not claims of realized or forecast HISTAMOS savings.</w:t>
      </w:r>
    </w:p>
    <w:p>
      <w:r>
        <w:br w:type="page"/>
      </w:r>
    </w:p>
    <w:p>
      <w:pPr>
        <w:pStyle w:val="Heading1"/>
      </w:pPr>
      <w:r>
        <w:t>6. The Remaining Validation Gap</w:t>
      </w:r>
    </w:p>
    <w:p>
      <w:pPr>
        <w:keepNext w:val="0"/>
        <w:spacing w:before="0" w:after="120" w:line="259" w:lineRule="auto"/>
      </w:pPr>
      <w:r>
        <w:rPr>
          <w:rFonts w:ascii="Aptos" w:hAnsi="Aptos"/>
          <w:sz w:val="20"/>
        </w:rPr>
        <w:t>The scientific opportunity remains open, but the evidence required for clinical treatment allocation is not available yet. Independent prospective validation is required to determine whether treatment-response information can improve a later treatment decision in a reproducible and clinically meaningful way.</w:t>
      </w:r>
    </w:p>
    <w:tbl>
      <w:tblPr>
        <w:tblW w:type="auto" w:w="0"/>
        <w:jc w:val="center"/>
        <w:tblLook w:firstColumn="1" w:firstRow="1" w:lastColumn="0" w:lastRow="0" w:noHBand="0" w:noVBand="1" w:val="04A0"/>
      </w:tblPr>
      <w:tblGrid>
        <w:gridCol w:w="3024"/>
        <w:gridCol w:w="6912"/>
      </w:tblGrid>
      <w:tr>
        <w:tc>
          <w:tcPr>
            <w:tcW w:type="dxa" w:w="5083"/>
            <w:shd w:fill="EAF2F8"/>
            <w:tcBorders>
              <w:bottom w:val="single" w:sz="4" w:color="D9D9D9"/>
            </w:tcBorders>
          </w:tcPr>
          <w:p>
            <w:r>
              <w:rPr>
                <w:rFonts w:ascii="Aptos" w:hAnsi="Aptos"/>
                <w:b/>
                <w:color w:val="1F4E79"/>
                <w:sz w:val="17"/>
              </w:rPr>
              <w:t>Independent clinical partner</w:t>
            </w:r>
          </w:p>
        </w:tc>
        <w:tc>
          <w:tcPr>
            <w:tcW w:type="dxa" w:w="5083"/>
            <w:tcBorders>
              <w:bottom w:val="single" w:sz="4" w:color="D9D9D9"/>
            </w:tcBorders>
          </w:tcPr>
          <w:p>
            <w:r>
              <w:rPr>
                <w:rFonts w:ascii="Aptos" w:hAnsi="Aptos"/>
                <w:sz w:val="17"/>
              </w:rPr>
              <w:t>A qualified institution able to provide clinical oversight and an appropriate validation environment.</w:t>
            </w:r>
          </w:p>
        </w:tc>
      </w:tr>
      <w:tr>
        <w:tc>
          <w:tcPr>
            <w:tcW w:type="dxa" w:w="5083"/>
            <w:shd w:fill="EAF2F8"/>
            <w:tcBorders>
              <w:bottom w:val="single" w:sz="4" w:color="D9D9D9"/>
            </w:tcBorders>
          </w:tcPr>
          <w:p>
            <w:r>
              <w:rPr>
                <w:rFonts w:ascii="Aptos" w:hAnsi="Aptos"/>
                <w:b/>
                <w:color w:val="1F4E79"/>
                <w:sz w:val="17"/>
              </w:rPr>
              <w:t>Prospective or suitable patient-level data</w:t>
            </w:r>
          </w:p>
        </w:tc>
        <w:tc>
          <w:tcPr>
            <w:tcW w:type="dxa" w:w="5083"/>
            <w:tcBorders>
              <w:bottom w:val="single" w:sz="4" w:color="D9D9D9"/>
            </w:tcBorders>
          </w:tcPr>
          <w:p>
            <w:r>
              <w:rPr>
                <w:rFonts w:ascii="Aptos" w:hAnsi="Aptos"/>
                <w:sz w:val="17"/>
              </w:rPr>
              <w:t>Data that capture treatment exposure, response and subsequent outcomes with sufficient temporal resolution.</w:t>
            </w:r>
          </w:p>
        </w:tc>
      </w:tr>
      <w:tr>
        <w:tc>
          <w:tcPr>
            <w:tcW w:type="dxa" w:w="5083"/>
            <w:shd w:fill="EAF2F8"/>
            <w:tcBorders>
              <w:bottom w:val="single" w:sz="4" w:color="D9D9D9"/>
            </w:tcBorders>
          </w:tcPr>
          <w:p>
            <w:r>
              <w:rPr>
                <w:rFonts w:ascii="Aptos" w:hAnsi="Aptos"/>
                <w:b/>
                <w:color w:val="1F4E79"/>
                <w:sz w:val="17"/>
              </w:rPr>
              <w:t>Independent evaluation</w:t>
            </w:r>
          </w:p>
        </w:tc>
        <w:tc>
          <w:tcPr>
            <w:tcW w:type="dxa" w:w="5083"/>
            <w:tcBorders>
              <w:bottom w:val="single" w:sz="4" w:color="D9D9D9"/>
            </w:tcBorders>
          </w:tcPr>
          <w:p>
            <w:r>
              <w:rPr>
                <w:rFonts w:ascii="Aptos" w:hAnsi="Aptos"/>
                <w:sz w:val="17"/>
              </w:rPr>
              <w:t>Testing that is separated from the research-development evidence used to formulate the hypothesis.</w:t>
            </w:r>
          </w:p>
        </w:tc>
      </w:tr>
      <w:tr>
        <w:tc>
          <w:tcPr>
            <w:tcW w:type="dxa" w:w="5083"/>
            <w:shd w:fill="EAF2F8"/>
            <w:tcBorders>
              <w:bottom w:val="single" w:sz="4" w:color="D9D9D9"/>
            </w:tcBorders>
          </w:tcPr>
          <w:p>
            <w:r>
              <w:rPr>
                <w:rFonts w:ascii="Aptos" w:hAnsi="Aptos"/>
                <w:b/>
                <w:color w:val="1F4E79"/>
                <w:sz w:val="17"/>
              </w:rPr>
              <w:t>Patient benefit and safety review</w:t>
            </w:r>
          </w:p>
        </w:tc>
        <w:tc>
          <w:tcPr>
            <w:tcW w:type="dxa" w:w="5083"/>
            <w:tcBorders>
              <w:bottom w:val="single" w:sz="4" w:color="D9D9D9"/>
            </w:tcBorders>
          </w:tcPr>
          <w:p>
            <w:r>
              <w:rPr>
                <w:rFonts w:ascii="Aptos" w:hAnsi="Aptos"/>
                <w:sz w:val="17"/>
              </w:rPr>
              <w:t>Evaluation of efficacy, toxicity and clinically meaningful trade-offs, not prediction accuracy alone.</w:t>
            </w:r>
          </w:p>
        </w:tc>
      </w:tr>
      <w:tr>
        <w:tc>
          <w:tcPr>
            <w:tcW w:type="dxa" w:w="5083"/>
            <w:shd w:fill="EAF2F8"/>
            <w:tcBorders>
              <w:bottom w:val="single" w:sz="4" w:color="D9D9D9"/>
            </w:tcBorders>
          </w:tcPr>
          <w:p>
            <w:r>
              <w:rPr>
                <w:rFonts w:ascii="Aptos" w:hAnsi="Aptos"/>
                <w:b/>
                <w:color w:val="1F4E79"/>
                <w:sz w:val="17"/>
              </w:rPr>
              <w:t>Regulatory and ethics oversight</w:t>
            </w:r>
          </w:p>
        </w:tc>
        <w:tc>
          <w:tcPr>
            <w:tcW w:type="dxa" w:w="5083"/>
            <w:tcBorders>
              <w:bottom w:val="single" w:sz="4" w:color="D9D9D9"/>
            </w:tcBorders>
          </w:tcPr>
          <w:p>
            <w:r>
              <w:rPr>
                <w:rFonts w:ascii="Aptos" w:hAnsi="Aptos"/>
                <w:sz w:val="17"/>
              </w:rPr>
              <w:t>Any patient-facing use would require the appropriate institutional, ethical and regulatory pathway.</w:t>
            </w:r>
          </w:p>
        </w:tc>
      </w:tr>
    </w:tbl>
    <w:p>
      <w:pPr>
        <w:pStyle w:val="Heading1"/>
      </w:pPr>
      <w:r>
        <w:t>7. Collaboration Proposition</w:t>
      </w:r>
    </w:p>
    <w:p>
      <w:pPr>
        <w:pStyle w:val="Callout"/>
      </w:pPr>
      <w:r>
        <w:t>HISTAMOS is seeking validation partners, not endorsement without evidence.</w:t>
      </w:r>
    </w:p>
    <w:p>
      <w:pPr>
        <w:keepNext w:val="0"/>
        <w:spacing w:before="0" w:after="120" w:line="259" w:lineRule="auto"/>
      </w:pPr>
      <w:r>
        <w:rPr>
          <w:rFonts w:ascii="Aptos" w:hAnsi="Aptos"/>
          <w:sz w:val="20"/>
        </w:rPr>
        <w:t>We are interested in discussions with academic medical centers, oncology networks, clinical-trial groups, research funders, health insurers and other qualified institutions that can support independent patient-level validation, clinical interpretation and prospective evaluation.</w:t>
      </w:r>
    </w:p>
    <w:p>
      <w:pPr>
        <w:pStyle w:val="ListBullet"/>
        <w:spacing w:after="60" w:line="252" w:lineRule="auto"/>
      </w:pPr>
      <w:r>
        <w:rPr>
          <w:rFonts w:ascii="Aptos" w:hAnsi="Aptos"/>
          <w:sz w:val="19"/>
        </w:rPr>
        <w:t>Clinical and academic collaboration for independent validation.</w:t>
      </w:r>
    </w:p>
    <w:p>
      <w:pPr>
        <w:pStyle w:val="ListBullet"/>
        <w:spacing w:after="60" w:line="252" w:lineRule="auto"/>
      </w:pPr>
      <w:r>
        <w:rPr>
          <w:rFonts w:ascii="Aptos" w:hAnsi="Aptos"/>
          <w:sz w:val="19"/>
        </w:rPr>
        <w:t>Access to suitable patient-level datasets under appropriate governance.</w:t>
      </w:r>
    </w:p>
    <w:p>
      <w:pPr>
        <w:pStyle w:val="ListBullet"/>
        <w:spacing w:after="60" w:line="252" w:lineRule="auto"/>
      </w:pPr>
      <w:r>
        <w:rPr>
          <w:rFonts w:ascii="Aptos" w:hAnsi="Aptos"/>
          <w:sz w:val="19"/>
        </w:rPr>
        <w:t>Prospective research environments able to test patient and payer value.</w:t>
      </w:r>
    </w:p>
    <w:p>
      <w:pPr>
        <w:pStyle w:val="ListBullet"/>
        <w:spacing w:after="60" w:line="252" w:lineRule="auto"/>
      </w:pPr>
      <w:r>
        <w:rPr>
          <w:rFonts w:ascii="Aptos" w:hAnsi="Aptos"/>
          <w:sz w:val="19"/>
        </w:rPr>
        <w:t>Independent scientific review of the hypothesis and evidence boundary.</w:t>
      </w:r>
    </w:p>
    <w:p>
      <w:pPr>
        <w:pStyle w:val="Heading1"/>
      </w:pPr>
      <w:r>
        <w:t>8. Public Disclosure Boundary</w:t>
      </w:r>
    </w:p>
    <w:p>
      <w:pPr>
        <w:keepNext w:val="0"/>
        <w:spacing w:before="0" w:after="120" w:line="259" w:lineRule="auto"/>
      </w:pPr>
      <w:r>
        <w:rPr>
          <w:rFonts w:ascii="Aptos" w:hAnsi="Aptos"/>
          <w:sz w:val="18"/>
        </w:rPr>
        <w:t>This document intentionally discloses the scientific question, selected public evidence, current evidence boundary and potential clinical/economic relevance. It does not disclose proprietary research logic, software architecture, internal validation rules, model construction, thresholds, ranking logic, feature engineering, source code, or the process used to generate and refine hypotheses.</w:t>
      </w:r>
    </w:p>
    <w:p>
      <w:r>
        <w:rPr>
          <w:rFonts w:ascii="Aptos" w:hAnsi="Aptos"/>
          <w:b/>
          <w:color w:val="1F4E79"/>
          <w:sz w:val="18"/>
        </w:rPr>
        <w:t xml:space="preserve">Method statement for public use: </w:t>
      </w:r>
      <w:r>
        <w:rPr>
          <w:rFonts w:ascii="Aptos" w:hAnsi="Aptos"/>
          <w:sz w:val="18"/>
        </w:rPr>
        <w:t>HISTAMOS developed and evaluated the hypothesis using a proprietary scientific discovery and validation framework.</w:t>
      </w:r>
    </w:p>
    <w:p>
      <w:pPr>
        <w:pStyle w:val="Heading2"/>
      </w:pPr>
      <w:r>
        <w:t>Scientific status</w:t>
      </w:r>
    </w:p>
    <w:tbl>
      <w:tblPr>
        <w:tblW w:type="auto" w:w="0"/>
        <w:jc w:val="left"/>
        <w:tblLook w:firstColumn="1" w:firstRow="1" w:lastColumn="0" w:lastRow="0" w:noHBand="0" w:noVBand="1" w:val="04A0"/>
      </w:tblPr>
      <w:tblGrid>
        <w:gridCol w:w="4608"/>
        <w:gridCol w:w="4752"/>
      </w:tblGrid>
      <w:tr>
        <w:tc>
          <w:tcPr>
            <w:tcW w:type="dxa" w:w="5083"/>
            <w:shd w:fill="F2F2F2"/>
            <w:tcBorders>
              <w:bottom w:val="single" w:sz="4" w:color="D9D9D9"/>
            </w:tcBorders>
          </w:tcPr>
          <w:p>
            <w:r>
              <w:rPr>
                <w:rFonts w:ascii="Aptos" w:hAnsi="Aptos"/>
                <w:b/>
                <w:sz w:val="17"/>
              </w:rPr>
              <w:t>Treatment-response information</w:t>
            </w:r>
          </w:p>
        </w:tc>
        <w:tc>
          <w:tcPr>
            <w:tcW w:type="dxa" w:w="5083"/>
            <w:tcBorders>
              <w:bottom w:val="single" w:sz="4" w:color="D9D9D9"/>
            </w:tcBorders>
          </w:tcPr>
          <w:p>
            <w:r>
              <w:rPr>
                <w:rFonts w:ascii="Aptos" w:hAnsi="Aptos"/>
                <w:b/>
                <w:color w:val="124866"/>
                <w:sz w:val="17"/>
              </w:rPr>
              <w:t>SUPPORTED — BOUNDED</w:t>
            </w:r>
          </w:p>
        </w:tc>
      </w:tr>
      <w:tr>
        <w:tc>
          <w:tcPr>
            <w:tcW w:type="dxa" w:w="5083"/>
            <w:shd w:fill="F2F2F2"/>
            <w:tcBorders>
              <w:bottom w:val="single" w:sz="4" w:color="D9D9D9"/>
            </w:tcBorders>
          </w:tcPr>
          <w:p>
            <w:r>
              <w:rPr>
                <w:rFonts w:ascii="Aptos" w:hAnsi="Aptos"/>
                <w:b/>
                <w:sz w:val="17"/>
              </w:rPr>
              <w:t>Response-informed treatment selection</w:t>
            </w:r>
          </w:p>
        </w:tc>
        <w:tc>
          <w:tcPr>
            <w:tcW w:type="dxa" w:w="5083"/>
            <w:tcBorders>
              <w:bottom w:val="single" w:sz="4" w:color="D9D9D9"/>
            </w:tcBorders>
          </w:tcPr>
          <w:p>
            <w:r>
              <w:rPr>
                <w:rFonts w:ascii="Aptos" w:hAnsi="Aptos"/>
                <w:b/>
                <w:color w:val="124866"/>
                <w:sz w:val="17"/>
              </w:rPr>
              <w:t>NOT VALIDATED</w:t>
            </w:r>
          </w:p>
        </w:tc>
      </w:tr>
      <w:tr>
        <w:tc>
          <w:tcPr>
            <w:tcW w:type="dxa" w:w="5083"/>
            <w:shd w:fill="F2F2F2"/>
            <w:tcBorders>
              <w:bottom w:val="single" w:sz="4" w:color="D9D9D9"/>
            </w:tcBorders>
          </w:tcPr>
          <w:p>
            <w:r>
              <w:rPr>
                <w:rFonts w:ascii="Aptos" w:hAnsi="Aptos"/>
                <w:b/>
                <w:sz w:val="17"/>
              </w:rPr>
              <w:t>Clinical treatment-allocation authority</w:t>
            </w:r>
          </w:p>
        </w:tc>
        <w:tc>
          <w:tcPr>
            <w:tcW w:type="dxa" w:w="5083"/>
            <w:tcBorders>
              <w:bottom w:val="single" w:sz="4" w:color="D9D9D9"/>
            </w:tcBorders>
          </w:tcPr>
          <w:p>
            <w:r>
              <w:rPr>
                <w:rFonts w:ascii="Aptos" w:hAnsi="Aptos"/>
                <w:b/>
                <w:color w:val="124866"/>
                <w:sz w:val="17"/>
              </w:rPr>
              <w:t>NONE</w:t>
            </w:r>
          </w:p>
        </w:tc>
      </w:tr>
      <w:tr>
        <w:tc>
          <w:tcPr>
            <w:tcW w:type="dxa" w:w="5083"/>
            <w:shd w:fill="F2F2F2"/>
            <w:tcBorders>
              <w:bottom w:val="single" w:sz="4" w:color="D9D9D9"/>
            </w:tcBorders>
          </w:tcPr>
          <w:p>
            <w:r>
              <w:rPr>
                <w:rFonts w:ascii="Aptos" w:hAnsi="Aptos"/>
                <w:b/>
                <w:sz w:val="17"/>
              </w:rPr>
              <w:t>Independent prospective validation</w:t>
            </w:r>
          </w:p>
        </w:tc>
        <w:tc>
          <w:tcPr>
            <w:tcW w:type="dxa" w:w="5083"/>
            <w:tcBorders>
              <w:bottom w:val="single" w:sz="4" w:color="D9D9D9"/>
            </w:tcBorders>
          </w:tcPr>
          <w:p>
            <w:r>
              <w:rPr>
                <w:rFonts w:ascii="Aptos" w:hAnsi="Aptos"/>
                <w:b/>
                <w:color w:val="124866"/>
                <w:sz w:val="17"/>
              </w:rPr>
              <w:t>REQUIRED</w:t>
            </w:r>
          </w:p>
        </w:tc>
      </w:tr>
    </w:tbl>
    <w:p>
      <w:r>
        <w:br w:type="page"/>
      </w:r>
    </w:p>
    <w:p>
      <w:pPr>
        <w:pStyle w:val="Heading1"/>
      </w:pPr>
      <w:r>
        <w:t>Public Sources</w:t>
      </w:r>
    </w:p>
    <w:p>
      <w:pPr>
        <w:spacing w:after="80" w:line="245" w:lineRule="auto"/>
      </w:pPr>
      <w:r>
        <w:rPr>
          <w:rFonts w:ascii="Aptos" w:hAnsi="Aptos"/>
          <w:b/>
          <w:sz w:val="17"/>
        </w:rPr>
        <w:t xml:space="preserve">1. PARAMOUNT phase III randomized trial. </w:t>
      </w:r>
      <w:r>
        <w:rPr>
          <w:rFonts w:ascii="Aptos" w:hAnsi="Aptos"/>
          <w:sz w:val="17"/>
        </w:rPr>
        <w:t xml:space="preserve">Paz-Ares L, et al. Lancet Oncology. 2012;13(3):247-255. PMID 22341744. DOI 10.1016/S1470-2045(12)70063-3. </w:t>
      </w:r>
      <w:hyperlink r:id="rId11">
        <w:r>
          <w:rPr>
            <w:color w:val="1F4E79"/>
            <w:u w:val="single"/>
            <w:rFonts w:ascii="Aptos" w:hAnsi="Aptos"/>
          </w:rPr>
          <w:t>Source</w:t>
        </w:r>
      </w:hyperlink>
    </w:p>
    <w:p>
      <w:pPr>
        <w:spacing w:after="80" w:line="245" w:lineRule="auto"/>
      </w:pPr>
      <w:r>
        <w:rPr>
          <w:rFonts w:ascii="Aptos" w:hAnsi="Aptos"/>
          <w:b/>
          <w:sz w:val="17"/>
        </w:rPr>
        <w:t xml:space="preserve">2. PARAMOUNT final overall survival. </w:t>
      </w:r>
      <w:r>
        <w:rPr>
          <w:rFonts w:ascii="Aptos" w:hAnsi="Aptos"/>
          <w:sz w:val="17"/>
        </w:rPr>
        <w:t xml:space="preserve">Paz-Ares LG, et al. Journal of Clinical Oncology. 2013;31(23):2895-2902. PMID 23835707. DOI 10.1200/JCO.2012.47.1102. </w:t>
      </w:r>
      <w:hyperlink r:id="rId12">
        <w:r>
          <w:rPr>
            <w:color w:val="1F4E79"/>
            <w:u w:val="single"/>
            <w:rFonts w:ascii="Aptos" w:hAnsi="Aptos"/>
          </w:rPr>
          <w:t>Source</w:t>
        </w:r>
      </w:hyperlink>
    </w:p>
    <w:p>
      <w:pPr>
        <w:spacing w:after="80" w:line="245" w:lineRule="auto"/>
      </w:pPr>
      <w:r>
        <w:rPr>
          <w:rFonts w:ascii="Aptos" w:hAnsi="Aptos"/>
          <w:b/>
          <w:sz w:val="17"/>
        </w:rPr>
        <w:t xml:space="preserve">3. PARAMOUNT subgroup analysis. </w:t>
      </w:r>
      <w:r>
        <w:rPr>
          <w:rFonts w:ascii="Aptos" w:hAnsi="Aptos"/>
          <w:sz w:val="17"/>
        </w:rPr>
        <w:t xml:space="preserve">Reck M, et al. Journal of Thoracic Oncology. 2014. PMID 24419418. PMCID PMC4132027. </w:t>
      </w:r>
      <w:hyperlink r:id="rId13">
        <w:r>
          <w:rPr>
            <w:color w:val="1F4E79"/>
            <w:u w:val="single"/>
            <w:rFonts w:ascii="Aptos" w:hAnsi="Aptos"/>
          </w:rPr>
          <w:t>Source</w:t>
        </w:r>
      </w:hyperlink>
    </w:p>
    <w:p>
      <w:pPr>
        <w:spacing w:after="80" w:line="245" w:lineRule="auto"/>
      </w:pPr>
      <w:r>
        <w:rPr>
          <w:rFonts w:ascii="Aptos" w:hAnsi="Aptos"/>
          <w:b/>
          <w:sz w:val="17"/>
        </w:rPr>
        <w:t xml:space="preserve">4. Response-tailored maintenance trial in advanced NSCLC. </w:t>
      </w:r>
      <w:r>
        <w:rPr>
          <w:rFonts w:ascii="Aptos" w:hAnsi="Aptos"/>
          <w:sz w:val="17"/>
        </w:rPr>
        <w:t xml:space="preserve">IFCT-GFPC-1101 randomized phase III trial. PubMed PMID 35051725. </w:t>
      </w:r>
      <w:hyperlink r:id="rId14">
        <w:r>
          <w:rPr>
            <w:color w:val="1F4E79"/>
            <w:u w:val="single"/>
            <w:rFonts w:ascii="Aptos" w:hAnsi="Aptos"/>
          </w:rPr>
          <w:t>Source</w:t>
        </w:r>
      </w:hyperlink>
    </w:p>
    <w:p>
      <w:pPr>
        <w:spacing w:after="80" w:line="245" w:lineRule="auto"/>
      </w:pPr>
      <w:r>
        <w:rPr>
          <w:rFonts w:ascii="Aptos" w:hAnsi="Aptos"/>
          <w:b/>
          <w:sz w:val="17"/>
        </w:rPr>
        <w:t xml:space="preserve">5. Myeloma XI. </w:t>
      </w:r>
      <w:r>
        <w:rPr>
          <w:rFonts w:ascii="Aptos" w:hAnsi="Aptos"/>
          <w:sz w:val="17"/>
        </w:rPr>
        <w:t xml:space="preserve">Jackson GH, et al. Lancet Oncology. 2019;20(1):57-73. PMID 30559051. </w:t>
      </w:r>
      <w:hyperlink r:id="rId15">
        <w:r>
          <w:rPr>
            <w:color w:val="1F4E79"/>
            <w:u w:val="single"/>
            <w:rFonts w:ascii="Aptos" w:hAnsi="Aptos"/>
          </w:rPr>
          <w:t>Source</w:t>
        </w:r>
      </w:hyperlink>
    </w:p>
    <w:p>
      <w:pPr>
        <w:spacing w:after="80" w:line="245" w:lineRule="auto"/>
      </w:pPr>
      <w:r>
        <w:rPr>
          <w:rFonts w:ascii="Aptos" w:hAnsi="Aptos"/>
          <w:b/>
          <w:sz w:val="17"/>
        </w:rPr>
        <w:t xml:space="preserve">6. Olaparib list price. </w:t>
      </w:r>
      <w:r>
        <w:rPr>
          <w:rFonts w:ascii="Aptos" w:hAnsi="Aptos"/>
          <w:sz w:val="17"/>
        </w:rPr>
        <w:t xml:space="preserve">NICE Technology Appraisal TA962. List price £4,635 per 28-day cycle; confidential NHS discount applies. </w:t>
      </w:r>
      <w:hyperlink r:id="rId16">
        <w:r>
          <w:rPr>
            <w:color w:val="1F4E79"/>
            <w:u w:val="single"/>
            <w:rFonts w:ascii="Aptos" w:hAnsi="Aptos"/>
          </w:rPr>
          <w:t>Source</w:t>
        </w:r>
      </w:hyperlink>
    </w:p>
    <w:p>
      <w:pPr>
        <w:spacing w:after="80" w:line="245" w:lineRule="auto"/>
      </w:pPr>
      <w:r>
        <w:rPr>
          <w:rFonts w:ascii="Aptos" w:hAnsi="Aptos"/>
          <w:b/>
          <w:sz w:val="17"/>
        </w:rPr>
        <w:t xml:space="preserve">7. Lenalidomide maintenance list price. </w:t>
      </w:r>
      <w:r>
        <w:rPr>
          <w:rFonts w:ascii="Aptos" w:hAnsi="Aptos"/>
          <w:sz w:val="17"/>
        </w:rPr>
        <w:t xml:space="preserve">NICE Technology Appraisal TA680. List price £3,780 per 21-capsule 10-mg pack used in a 28-day cycle; confidential NHS discount applies. </w:t>
      </w:r>
      <w:hyperlink r:id="rId17">
        <w:r>
          <w:rPr>
            <w:color w:val="1F4E79"/>
            <w:u w:val="single"/>
            <w:rFonts w:ascii="Aptos" w:hAnsi="Aptos"/>
          </w:rPr>
          <w:t>Source</w:t>
        </w:r>
      </w:hyperlink>
    </w:p>
    <w:p>
      <w:pPr>
        <w:spacing w:after="80" w:line="245" w:lineRule="auto"/>
      </w:pPr>
      <w:r>
        <w:rPr>
          <w:rFonts w:ascii="Aptos" w:hAnsi="Aptos"/>
          <w:b/>
          <w:sz w:val="17"/>
        </w:rPr>
        <w:t xml:space="preserve">8. Febrile neutropenia economic burden. </w:t>
      </w:r>
      <w:r>
        <w:rPr>
          <w:rFonts w:ascii="Aptos" w:hAnsi="Aptos"/>
          <w:sz w:val="17"/>
        </w:rPr>
        <w:t xml:space="preserve">Flanigan JA, et al. Supportive Care in Cancer. 2024. PMID 38777864. Mean FN-related cost $25,176 per episode; $26,868 when hospitalized. </w:t>
      </w:r>
      <w:hyperlink r:id="rId18">
        <w:r>
          <w:rPr>
            <w:color w:val="1F4E79"/>
            <w:u w:val="single"/>
            <w:rFonts w:ascii="Aptos" w:hAnsi="Aptos"/>
          </w:rPr>
          <w:t>Source</w:t>
        </w:r>
      </w:hyperlink>
    </w:p>
    <w:p>
      <w:pPr>
        <w:pStyle w:val="Heading1"/>
      </w:pPr>
      <w:r>
        <w:t>Contact</w:t>
      </w:r>
    </w:p>
    <w:p>
      <w:r>
        <w:rPr>
          <w:rFonts w:ascii="Aptos" w:hAnsi="Aptos"/>
          <w:b/>
          <w:color w:val="123456"/>
          <w:sz w:val="22"/>
        </w:rPr>
        <w:t>Bouchelit Mohammed El Amin</w:t>
      </w:r>
      <w:r>
        <w:rPr>
          <w:rFonts w:ascii="Aptos" w:hAnsi="Aptos"/>
          <w:sz w:val="19"/>
        </w:rPr>
        <w:br/>
        <w:t>Founder &amp; Scientific Lead, HISTAMOS</w:t>
      </w:r>
      <w:r>
        <w:rPr>
          <w:rFonts w:ascii="Aptos" w:hAnsi="Aptos"/>
          <w:sz w:val="19"/>
        </w:rPr>
        <w:br/>
        <w:t>Germany / Independent Research Program</w:t>
      </w:r>
      <w:r>
        <w:rPr>
          <w:rFonts w:ascii="Aptos" w:hAnsi="Aptos"/>
          <w:b/>
          <w:sz w:val="19"/>
        </w:rPr>
        <w:br/>
        <w:t xml:space="preserve">Website: </w:t>
      </w:r>
      <w:hyperlink r:id="rId19">
        <w:r>
          <w:rPr>
            <w:color w:val="1F4E79"/>
            <w:u w:val="single"/>
            <w:rFonts w:ascii="Aptos" w:hAnsi="Aptos"/>
          </w:rPr>
          <w:t>www.histamos.com</w:t>
        </w:r>
      </w:hyperlink>
      <w:r>
        <w:rPr>
          <w:rFonts w:ascii="Aptos" w:hAnsi="Aptos"/>
          <w:b/>
          <w:sz w:val="19"/>
        </w:rPr>
        <w:br/>
        <w:t xml:space="preserve">Email: </w:t>
      </w:r>
      <w:hyperlink r:id="rId20">
        <w:r>
          <w:rPr>
            <w:color w:val="1F4E79"/>
            <w:u w:val="single"/>
            <w:rFonts w:ascii="Aptos" w:hAnsi="Aptos"/>
          </w:rPr>
          <w:t>contact@histamos.com</w:t>
        </w:r>
      </w:hyperlink>
    </w:p>
    <w:p>
      <w:pPr>
        <w:pStyle w:val="SmallNote"/>
      </w:pPr>
      <w:r>
        <w:t>Prepared 17 August 2026. Public Proof of Work. Not for clinical decision-making.</w:t>
      </w:r>
    </w:p>
    <w:sectPr w:rsidR="00FC693F" w:rsidRPr="0006063C" w:rsidSect="00034616">
      <w:headerReference w:type="default" r:id="rId9"/>
      <w:footerReference w:type="default" r:id="rId10"/>
      <w:pgSz w:w="12240" w:h="15840"/>
      <w:pgMar w:top="936" w:right="1037" w:bottom="893"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jc w:val="center"/>
      <w:tblLook w:firstColumn="1" w:firstRow="1" w:lastColumn="0" w:lastRow="0" w:noHBand="0" w:noVBand="1" w:val="04A0"/>
    </w:tblPr>
    <w:tblGrid>
      <w:gridCol w:w="3312"/>
      <w:gridCol w:w="3312"/>
      <w:gridCol w:w="3312"/>
    </w:tblGrid>
    <w:tr>
      <w:tc>
        <w:tcPr>
          <w:tcW w:type="dxa" w:w="3312"/>
          <w:tcBorders>
            <w:top w:val="single" w:sz="4" w:color="D9D9D9"/>
          </w:tcBorders>
        </w:tcPr>
        <w:p>
          <w:pPr>
            <w:jc w:val="left"/>
          </w:pPr>
          <w:r>
            <w:rPr>
              <w:rFonts w:ascii="Aptos" w:hAnsi="Aptos"/>
              <w:color w:val="6E6E6E"/>
              <w:sz w:val="14"/>
            </w:rPr>
            <w:t>www.histamos.com</w:t>
          </w:r>
        </w:p>
      </w:tc>
      <w:tc>
        <w:tcPr>
          <w:tcW w:type="dxa" w:w="3312"/>
          <w:tcBorders>
            <w:top w:val="single" w:sz="4" w:color="D9D9D9"/>
          </w:tcBorders>
        </w:tcPr>
        <w:p>
          <w:pPr>
            <w:jc w:val="center"/>
          </w:pPr>
          <w:r>
            <w:rPr>
              <w:rFonts w:ascii="Aptos" w:hAnsi="Aptos"/>
              <w:color w:val="6E6E6E"/>
              <w:sz w:val="14"/>
            </w:rPr>
            <w:t>contact@histamos.com</w:t>
          </w:r>
        </w:p>
      </w:tc>
      <w:tc>
        <w:tcPr>
          <w:tcW w:type="dxa" w:w="3312"/>
          <w:tcBorders>
            <w:top w:val="single" w:sz="4" w:color="D9D9D9"/>
          </w:tcBorders>
        </w:tcPr>
        <w:p>
          <w:pPr>
            <w:jc w:val="right"/>
          </w:pPr>
          <w:r>
            <w:rPr>
              <w:rFonts w:ascii="Aptos" w:hAnsi="Aptos"/>
              <w:color w:val="6E6E6E"/>
              <w:sz w:val="14"/>
            </w:rPr>
            <w:t>Public research document</w:t>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6E6E6E"/>
        <w:sz w:val="15"/>
      </w:rPr>
      <w:t>HISTAMOS  |  PUBLIC PROOF OF WORK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ptos" w:hAnsi="Aptos"/>
      <w:b/>
      <w:bCs/>
      <w:color w:val="123456"/>
      <w:sz w:val="30"/>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ptos" w:hAnsi="Aptos"/>
      <w:b/>
      <w:bCs/>
      <w:color w:val="1F4E79"/>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123456"/>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yebrow">
    <w:name w:val="Eyebrow"/>
    <w:pPr>
      <w:spacing w:after="80" w:line="252" w:lineRule="auto"/>
    </w:pPr>
    <w:rPr>
      <w:rFonts w:ascii="Aptos" w:hAnsi="Aptos"/>
      <w:b/>
      <w:color w:val="3D738D"/>
      <w:sz w:val="17"/>
    </w:rPr>
  </w:style>
  <w:style w:type="paragraph" w:customStyle="1" w:styleId="SmallNote">
    <w:name w:val="SmallNote"/>
    <w:pPr>
      <w:spacing w:after="80" w:line="252" w:lineRule="auto"/>
    </w:pPr>
    <w:rPr>
      <w:rFonts w:ascii="Aptos" w:hAnsi="Aptos"/>
      <w:b w:val="0"/>
      <w:color w:val="5F5F5F"/>
      <w:sz w:val="16"/>
    </w:rPr>
  </w:style>
  <w:style w:type="paragraph" w:customStyle="1" w:styleId="Callout">
    <w:name w:val="Callout"/>
    <w:pPr>
      <w:spacing w:after="80" w:line="252" w:lineRule="auto"/>
    </w:pPr>
    <w:rPr>
      <w:rFonts w:ascii="Aptos" w:hAnsi="Aptos"/>
      <w:b/>
      <w:color w:val="123456"/>
      <w:sz w:val="25"/>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ubmed.ncbi.nlm.nih.gov/22341744/" TargetMode="External"/><Relationship Id="rId12" Type="http://schemas.openxmlformats.org/officeDocument/2006/relationships/hyperlink" Target="https://pubmed.ncbi.nlm.nih.gov/23835707/" TargetMode="External"/><Relationship Id="rId13" Type="http://schemas.openxmlformats.org/officeDocument/2006/relationships/hyperlink" Target="https://pubmed.ncbi.nlm.nih.gov/24419418/" TargetMode="External"/><Relationship Id="rId14" Type="http://schemas.openxmlformats.org/officeDocument/2006/relationships/hyperlink" Target="https://pubmed.ncbi.nlm.nih.gov/35051725/" TargetMode="External"/><Relationship Id="rId15" Type="http://schemas.openxmlformats.org/officeDocument/2006/relationships/hyperlink" Target="https://pubmed.ncbi.nlm.nih.gov/30559051/" TargetMode="External"/><Relationship Id="rId16" Type="http://schemas.openxmlformats.org/officeDocument/2006/relationships/hyperlink" Target="https://www.nice.org.uk/guidance/ta962/chapter/information-about-olaparib" TargetMode="External"/><Relationship Id="rId17" Type="http://schemas.openxmlformats.org/officeDocument/2006/relationships/hyperlink" Target="https://www.nice.org.uk/guidance/TA680/chapter/information-about-lenalidomide" TargetMode="External"/><Relationship Id="rId18" Type="http://schemas.openxmlformats.org/officeDocument/2006/relationships/hyperlink" Target="https://pubmed.ncbi.nlm.nih.gov/38777864/" TargetMode="External"/><Relationship Id="rId19" Type="http://schemas.openxmlformats.org/officeDocument/2006/relationships/hyperlink" Target="https://www.histamos.com" TargetMode="External"/><Relationship Id="rId20" Type="http://schemas.openxmlformats.org/officeDocument/2006/relationships/hyperlink" Target="mailto:contact@histamo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